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425F20" w14:textId="77777777" w:rsidR="003C449D" w:rsidRDefault="002E041A">
      <w:pPr>
        <w:pStyle w:val="Title"/>
        <w:pBdr>
          <w:bottom w:val="single" w:sz="12" w:space="4" w:color="B8912F"/>
        </w:pBdr>
        <w:spacing w:after="80"/>
        <w:jc w:val="center"/>
      </w:pPr>
      <w:r>
        <w:rPr>
          <w:rFonts w:ascii="Cinzel" w:eastAsia="Cinzel" w:hAnsi="Cinzel" w:cs="Cinzel"/>
          <w:b/>
          <w:bCs/>
          <w:color w:val="1B2A4A"/>
          <w:sz w:val="34"/>
          <w:szCs w:val="34"/>
        </w:rPr>
        <w:t>Forming the Vehicle: A Practical Note on the Ontario Limited Partnership</w:t>
      </w:r>
    </w:p>
    <w:p w14:paraId="0C47F8D0" w14:textId="77777777" w:rsidR="003C449D" w:rsidRDefault="002E041A">
      <w:pPr>
        <w:spacing w:after="360"/>
        <w:jc w:val="center"/>
      </w:pPr>
      <w:r>
        <w:rPr>
          <w:rFonts w:ascii="Cormorant Garamond" w:eastAsia="Cormorant Garamond" w:hAnsi="Cormorant Garamond" w:cs="Cormorant Garamond"/>
          <w:i/>
          <w:iCs/>
          <w:color w:val="5C1A1A"/>
        </w:rPr>
        <w:t>Practical companion to “It Doesn’t Have to Be Offshore to Work.” — formation mechanics, not CRS substance</w:t>
      </w:r>
    </w:p>
    <w:p w14:paraId="40210127" w14:textId="77777777" w:rsidR="003C449D" w:rsidRDefault="002E041A">
      <w:pPr>
        <w:spacing w:after="200" w:line="300" w:lineRule="auto"/>
      </w:pPr>
      <w:r>
        <w:rPr>
          <w:rFonts w:ascii="Cormorant Garamond" w:eastAsia="Cormorant Garamond" w:hAnsi="Cormorant Garamond" w:cs="Cormorant Garamond"/>
          <w:color w:val="222222"/>
          <w:sz w:val="24"/>
          <w:szCs w:val="24"/>
        </w:rPr>
        <w:t>This note covers the mechanical side of putting an Ontario limited partnership in place — what is actually filed, what an individual non-resident general partner does and does not need, what the partnership agreement has to look like, and what has to be filed afterward. It is deliberately separate from the CRS and Part XIX analysis, which is a different question with its own tests and lives in the Track 2 companion piece. Nothing here should be read as bearing on residence, classification, or reporting — those are addressed there, not here.</w:t>
      </w:r>
    </w:p>
    <w:p w14:paraId="4D361AD8" w14:textId="77777777" w:rsidR="003C449D" w:rsidRDefault="002E041A">
      <w:pPr>
        <w:pStyle w:val="Heading1"/>
        <w:spacing w:before="360" w:after="160"/>
      </w:pPr>
      <w:r>
        <w:rPr>
          <w:rFonts w:ascii="Cinzel" w:eastAsia="Cinzel" w:hAnsi="Cinzel" w:cs="Cinzel"/>
          <w:b/>
          <w:bCs/>
          <w:color w:val="1B2A4A"/>
          <w:sz w:val="30"/>
          <w:szCs w:val="30"/>
        </w:rPr>
        <w:t>1. What is actually filed</w:t>
      </w:r>
    </w:p>
    <w:p w14:paraId="2FB0BCF7" w14:textId="77777777" w:rsidR="003C449D" w:rsidRDefault="002E041A">
      <w:pPr>
        <w:spacing w:after="200" w:line="300" w:lineRule="auto"/>
      </w:pPr>
      <w:r>
        <w:rPr>
          <w:rFonts w:ascii="Cormorant Garamond" w:eastAsia="Cormorant Garamond" w:hAnsi="Cormorant Garamond" w:cs="Cormorant Garamond"/>
          <w:color w:val="222222"/>
          <w:sz w:val="24"/>
          <w:szCs w:val="24"/>
        </w:rPr>
        <w:t>Forming an Ontario limited partnership is a registration, not an incorporation. A Declaration is filed with the Ontario Business Registry on Form 3 (form 5306E), setting out the LP’s name, its registered office, and the name and address of the general partner.</w:t>
      </w:r>
      <w:r>
        <w:rPr>
          <w:rStyle w:val="FootnoteReference"/>
        </w:rPr>
        <w:footnoteReference w:id="1"/>
      </w:r>
      <w:r>
        <w:rPr>
          <w:rFonts w:ascii="Cormorant Garamond" w:eastAsia="Cormorant Garamond" w:hAnsi="Cormorant Garamond" w:cs="Cormorant Garamond"/>
          <w:color w:val="222222"/>
          <w:sz w:val="24"/>
          <w:szCs w:val="24"/>
        </w:rPr>
        <w:t xml:space="preserve"> Processing is normally a matter of days; expedited same-day filing is generally available. There is no separate incorporation step and no share capital — the LP exists once the Declaration is accepted.</w:t>
      </w:r>
    </w:p>
    <w:p w14:paraId="2A4E2A2C" w14:textId="77777777" w:rsidR="003C449D" w:rsidRDefault="002E041A">
      <w:pPr>
        <w:pStyle w:val="Heading1"/>
        <w:spacing w:before="360" w:after="160"/>
      </w:pPr>
      <w:r>
        <w:rPr>
          <w:rFonts w:ascii="Cinzel" w:eastAsia="Cinzel" w:hAnsi="Cinzel" w:cs="Cinzel"/>
          <w:b/>
          <w:bCs/>
          <w:color w:val="1B2A4A"/>
          <w:sz w:val="30"/>
          <w:szCs w:val="30"/>
        </w:rPr>
        <w:t>2. The registered office</w:t>
      </w:r>
    </w:p>
    <w:p w14:paraId="13B496AE" w14:textId="77777777" w:rsidR="003C449D" w:rsidRDefault="002E041A">
      <w:pPr>
        <w:spacing w:after="200" w:line="300" w:lineRule="auto"/>
      </w:pPr>
      <w:r>
        <w:rPr>
          <w:rFonts w:ascii="Cormorant Garamond" w:eastAsia="Cormorant Garamond" w:hAnsi="Cormorant Garamond" w:cs="Cormorant Garamond"/>
          <w:color w:val="222222"/>
          <w:sz w:val="24"/>
          <w:szCs w:val="24"/>
        </w:rPr>
        <w:t>The LP must have a registered office, or principal place of business, physically located in Ontario — a real street address, not a post-office box — where the register of limited partners is kept.</w:t>
      </w:r>
      <w:r>
        <w:rPr>
          <w:rStyle w:val="FootnoteReference"/>
        </w:rPr>
        <w:footnoteReference w:id="2"/>
      </w:r>
      <w:r>
        <w:rPr>
          <w:rFonts w:ascii="Cormorant Garamond" w:eastAsia="Cormorant Garamond" w:hAnsi="Cormorant Garamond" w:cs="Cormorant Garamond"/>
          <w:color w:val="222222"/>
          <w:sz w:val="24"/>
          <w:szCs w:val="24"/>
        </w:rPr>
        <w:t xml:space="preserve"> This is a records-keeping location, not a management location; nothing about it bears on where the partnership is actually managed for any other purpose. It has to come from somewhere, though, since a Svalbard-resident general partner has no Ontario premises of his own.</w:t>
      </w:r>
    </w:p>
    <w:p w14:paraId="120549A3" w14:textId="77777777" w:rsidR="003C449D" w:rsidRDefault="002E041A">
      <w:pPr>
        <w:spacing w:after="200" w:line="300" w:lineRule="auto"/>
      </w:pPr>
      <w:r>
        <w:rPr>
          <w:rFonts w:ascii="Cormorant Garamond" w:eastAsia="Cormorant Garamond" w:hAnsi="Cormorant Garamond" w:cs="Cormorant Garamond"/>
          <w:color w:val="222222"/>
          <w:sz w:val="24"/>
          <w:szCs w:val="24"/>
        </w:rPr>
        <w:t xml:space="preserve">There is no licensing requirement on who may hold this address. A paid corporate service provider is the common commercial solution and is what most formation packages sell as a bundled service, but an ordinary individual resident in Ontario can serve exactly as well, provided the role is kept strictly to receiving and forwarding paperwork — no signing beyond the declaration itself, no fielding of queries, no relaying of instructions, and no appearance anywhere in the operational record. Anyone playing this role should not also be an economically interested party in the structure; </w:t>
      </w:r>
      <w:r>
        <w:rPr>
          <w:rFonts w:ascii="Cormorant Garamond" w:eastAsia="Cormorant Garamond" w:hAnsi="Cormorant Garamond" w:cs="Cormorant Garamond"/>
          <w:color w:val="222222"/>
          <w:sz w:val="24"/>
          <w:szCs w:val="24"/>
        </w:rPr>
        <w:lastRenderedPageBreak/>
        <w:t>doing so ties that person’s identity to the structure far more visibly than a neutral address would.</w:t>
      </w:r>
    </w:p>
    <w:p w14:paraId="6FE69D12" w14:textId="77777777" w:rsidR="003C449D" w:rsidRDefault="002E041A">
      <w:pPr>
        <w:pStyle w:val="Heading1"/>
        <w:spacing w:before="360" w:after="160"/>
      </w:pPr>
      <w:r>
        <w:rPr>
          <w:rFonts w:ascii="Cinzel" w:eastAsia="Cinzel" w:hAnsi="Cinzel" w:cs="Cinzel"/>
          <w:b/>
          <w:bCs/>
          <w:color w:val="1B2A4A"/>
          <w:sz w:val="30"/>
          <w:szCs w:val="30"/>
        </w:rPr>
        <w:t>3. The general partner</w:t>
      </w:r>
    </w:p>
    <w:p w14:paraId="7D24B7D7" w14:textId="77777777" w:rsidR="003C449D" w:rsidRDefault="002E041A">
      <w:pPr>
        <w:spacing w:after="200" w:line="300" w:lineRule="auto"/>
      </w:pPr>
      <w:r>
        <w:rPr>
          <w:rFonts w:ascii="Cormorant Garamond" w:eastAsia="Cormorant Garamond" w:hAnsi="Cormorant Garamond" w:cs="Cormorant Garamond"/>
          <w:color w:val="222222"/>
          <w:sz w:val="24"/>
          <w:szCs w:val="24"/>
        </w:rPr>
        <w:t>Canadian residency is required of neither general partner nor limited partner. The distinction that matters is between an individual and a corporation: a corporate general partner formed outside Canada must obtain an extra-provincial licence before acting, while an individual non-resident general partner faces no equivalent requirement — no registration, no licence, no residency test.</w:t>
      </w:r>
      <w:r>
        <w:rPr>
          <w:rStyle w:val="FootnoteReference"/>
        </w:rPr>
        <w:footnoteReference w:id="3"/>
      </w:r>
      <w:r>
        <w:rPr>
          <w:rFonts w:ascii="Cormorant Garamond" w:eastAsia="Cormorant Garamond" w:hAnsi="Cormorant Garamond" w:cs="Cormorant Garamond"/>
          <w:color w:val="222222"/>
          <w:sz w:val="24"/>
          <w:szCs w:val="24"/>
        </w:rPr>
        <w:t xml:space="preserve"> A Svalbard-resident individual can act as general partner of an Ontario LP without engaging any Canadian licensing regime at all.</w:t>
      </w:r>
    </w:p>
    <w:p w14:paraId="04ADC080" w14:textId="77777777" w:rsidR="003C449D" w:rsidRDefault="002E041A">
      <w:pPr>
        <w:spacing w:after="200" w:line="300" w:lineRule="auto"/>
      </w:pPr>
      <w:r>
        <w:rPr>
          <w:rFonts w:ascii="Cormorant Garamond" w:eastAsia="Cormorant Garamond" w:hAnsi="Cormorant Garamond" w:cs="Cormorant Garamond"/>
          <w:color w:val="222222"/>
          <w:sz w:val="24"/>
          <w:szCs w:val="24"/>
        </w:rPr>
        <w:t>One point remains open rather than settled: at least one source describes a requirement for a foreign general partner without an Ontario address to appoint an agent for service to sign the declaration on its behalf. That description is framed around corporate general partners in the source found, and may not extend to an individual at all — but it should be confirmed directly before assuming the Svalbard general partner can sign and file with no Ontario point of contact whatsoever.</w:t>
      </w:r>
    </w:p>
    <w:p w14:paraId="18BE98B0" w14:textId="77777777" w:rsidR="003C449D" w:rsidRDefault="002E041A">
      <w:pPr>
        <w:pStyle w:val="Heading1"/>
        <w:spacing w:before="360" w:after="160"/>
      </w:pPr>
      <w:r>
        <w:rPr>
          <w:rFonts w:ascii="Cinzel" w:eastAsia="Cinzel" w:hAnsi="Cinzel" w:cs="Cinzel"/>
          <w:b/>
          <w:bCs/>
          <w:color w:val="1B2A4A"/>
          <w:sz w:val="30"/>
          <w:szCs w:val="30"/>
        </w:rPr>
        <w:t>4. The partnership agreement</w:t>
      </w:r>
    </w:p>
    <w:p w14:paraId="62F45587" w14:textId="77777777" w:rsidR="003C449D" w:rsidRDefault="002E041A">
      <w:pPr>
        <w:spacing w:after="200" w:line="300" w:lineRule="auto"/>
      </w:pPr>
      <w:r>
        <w:rPr>
          <w:rFonts w:ascii="Cormorant Garamond" w:eastAsia="Cormorant Garamond" w:hAnsi="Cormorant Garamond" w:cs="Cormorant Garamond"/>
          <w:color w:val="222222"/>
          <w:sz w:val="24"/>
          <w:szCs w:val="24"/>
        </w:rPr>
        <w:t>The partnership agreement is a private contract between the general partner and the limited partners. It is not filed with the government and is not a public document.</w:t>
      </w:r>
      <w:r>
        <w:rPr>
          <w:rStyle w:val="FootnoteReference"/>
        </w:rPr>
        <w:footnoteReference w:id="4"/>
      </w:r>
      <w:r>
        <w:rPr>
          <w:rFonts w:ascii="Cormorant Garamond" w:eastAsia="Cormorant Garamond" w:hAnsi="Cormorant Garamond" w:cs="Cormorant Garamond"/>
          <w:color w:val="222222"/>
          <w:sz w:val="24"/>
          <w:szCs w:val="24"/>
        </w:rPr>
        <w:t xml:space="preserve"> The Act does not require it to take any particular form, and there is no requirement that it be drafted from a blank page — template agreements are routinely sold as part of standard formation packages precisely because the generic Ontario partnership mechanics are the same from one LP to the next.</w:t>
      </w:r>
    </w:p>
    <w:p w14:paraId="528201B8" w14:textId="77777777" w:rsidR="003C449D" w:rsidRDefault="002E041A">
      <w:pPr>
        <w:spacing w:after="200" w:line="300" w:lineRule="auto"/>
      </w:pPr>
      <w:r>
        <w:rPr>
          <w:rFonts w:ascii="Cormorant Garamond" w:eastAsia="Cormorant Garamond" w:hAnsi="Cormorant Garamond" w:cs="Cormorant Garamond"/>
          <w:color w:val="222222"/>
          <w:sz w:val="24"/>
          <w:szCs w:val="24"/>
        </w:rPr>
        <w:t>What does need bespoke drafting is everything specific to this structure: the general partner’s authority, the Svalbard management provisions, and the language supporting the intended CRS classification. The boilerplate can be reused; the substance cannot.</w:t>
      </w:r>
    </w:p>
    <w:p w14:paraId="6088DC57" w14:textId="77777777" w:rsidR="003C449D" w:rsidRDefault="002E041A">
      <w:pPr>
        <w:pStyle w:val="Heading1"/>
        <w:spacing w:before="360" w:after="160"/>
      </w:pPr>
      <w:r>
        <w:rPr>
          <w:rFonts w:ascii="Cinzel" w:eastAsia="Cinzel" w:hAnsi="Cinzel" w:cs="Cinzel"/>
          <w:b/>
          <w:bCs/>
          <w:color w:val="1B2A4A"/>
          <w:sz w:val="30"/>
          <w:szCs w:val="30"/>
        </w:rPr>
        <w:t>5. What has to be filed afterward</w:t>
      </w:r>
    </w:p>
    <w:p w14:paraId="7D79D00A" w14:textId="77777777" w:rsidR="003C449D" w:rsidRDefault="002E041A">
      <w:pPr>
        <w:spacing w:after="200" w:line="300" w:lineRule="auto"/>
      </w:pPr>
      <w:r>
        <w:rPr>
          <w:rFonts w:ascii="Cormorant Garamond" w:eastAsia="Cormorant Garamond" w:hAnsi="Cormorant Garamond" w:cs="Cormorant Garamond"/>
          <w:color w:val="222222"/>
          <w:sz w:val="24"/>
          <w:szCs w:val="24"/>
        </w:rPr>
        <w:t xml:space="preserve">The relevant ongoing filing is the T5013 Partnership Information Return. Under Regulation 229(1) of the Income Tax Regulations, it is required only if the partnership carries on business in Canada at any time in the fiscal period, is a “Canadian </w:t>
      </w:r>
      <w:r>
        <w:rPr>
          <w:rFonts w:ascii="Cormorant Garamond" w:eastAsia="Cormorant Garamond" w:hAnsi="Cormorant Garamond" w:cs="Cormorant Garamond"/>
          <w:color w:val="222222"/>
          <w:sz w:val="24"/>
          <w:szCs w:val="24"/>
        </w:rPr>
        <w:lastRenderedPageBreak/>
        <w:t>partnership” under section 102 of the Income Tax Act (which requires every partner to be resident in Canada), or is a specified investment flow-through partnership.</w:t>
      </w:r>
      <w:r>
        <w:rPr>
          <w:rStyle w:val="FootnoteReference"/>
        </w:rPr>
        <w:footnoteReference w:id="5"/>
      </w:r>
      <w:r>
        <w:rPr>
          <w:rFonts w:ascii="Cormorant Garamond" w:eastAsia="Cormorant Garamond" w:hAnsi="Cormorant Garamond" w:cs="Cormorant Garamond"/>
          <w:color w:val="222222"/>
          <w:sz w:val="24"/>
          <w:szCs w:val="24"/>
        </w:rPr>
        <w:t xml:space="preserve"> Canadian formation, on its own, satisfies none of the three.</w:t>
      </w:r>
    </w:p>
    <w:p w14:paraId="452F190D" w14:textId="77777777" w:rsidR="003C449D" w:rsidRDefault="002E041A">
      <w:pPr>
        <w:spacing w:after="200" w:line="300" w:lineRule="auto"/>
      </w:pPr>
      <w:r>
        <w:rPr>
          <w:rFonts w:ascii="Cormorant Garamond" w:eastAsia="Cormorant Garamond" w:hAnsi="Cormorant Garamond" w:cs="Cormorant Garamond"/>
          <w:color w:val="222222"/>
          <w:sz w:val="24"/>
          <w:szCs w:val="24"/>
        </w:rPr>
        <w:t>On the assumed facts — a genuinely Svalbard-managed LP carrying on no business in Canada, with no Canadian-resident partners — no ordinary annual T5013 filing should arise. This is a separate test from Part XIX CRS residence, addressed in Track 2, and one conclusion does not establish the other. CRA may nevertheless require a return to be filed on request, regardless of whether the ordinary exemption would otherwise apply.</w:t>
      </w:r>
    </w:p>
    <w:p w14:paraId="3AE0E682" w14:textId="77777777" w:rsidR="003C449D" w:rsidRDefault="002E041A">
      <w:pPr>
        <w:spacing w:after="200" w:line="300" w:lineRule="auto"/>
      </w:pPr>
      <w:r>
        <w:rPr>
          <w:rFonts w:ascii="Cormorant Garamond" w:eastAsia="Cormorant Garamond" w:hAnsi="Cormorant Garamond" w:cs="Cormorant Garamond"/>
          <w:color w:val="222222"/>
          <w:sz w:val="24"/>
          <w:szCs w:val="24"/>
        </w:rPr>
        <w:t>Beyond T5013, formation itself creates the ordinary consequences of any Ontario legal relationship — the Declaration has to be kept current, the registered office maintained, and any change of general partner or address filed as it occurs. None of that is unusual, and none of it is a substitute for, or in tension with, the substantive analysis in Track 2.</w:t>
      </w:r>
    </w:p>
    <w:p w14:paraId="60F7DA72" w14:textId="77777777" w:rsidR="003C449D" w:rsidRDefault="002E041A">
      <w:pPr>
        <w:pStyle w:val="Heading1"/>
        <w:spacing w:before="360" w:after="160"/>
      </w:pPr>
      <w:r>
        <w:rPr>
          <w:rFonts w:ascii="Cinzel" w:eastAsia="Cinzel" w:hAnsi="Cinzel" w:cs="Cinzel"/>
          <w:b/>
          <w:bCs/>
          <w:color w:val="1B2A4A"/>
          <w:sz w:val="30"/>
          <w:szCs w:val="30"/>
        </w:rPr>
        <w:t>6. What this note does not cover</w:t>
      </w:r>
    </w:p>
    <w:p w14:paraId="1F8443B9" w14:textId="77777777" w:rsidR="003C449D" w:rsidRDefault="002E041A">
      <w:pPr>
        <w:spacing w:after="200" w:line="300" w:lineRule="auto"/>
      </w:pPr>
      <w:r>
        <w:rPr>
          <w:rFonts w:ascii="Cormorant Garamond" w:eastAsia="Cormorant Garamond" w:hAnsi="Cormorant Garamond" w:cs="Cormorant Garamond"/>
          <w:color w:val="222222"/>
          <w:sz w:val="24"/>
          <w:szCs w:val="24"/>
        </w:rPr>
        <w:t>Deliberately excluded here: whether the LP is a Custodial Institution, whether its residence is genuinely in Svalbard, what happens if the general partner manages from his own home country instead, and the full history of CRA’s partnership-residence guidance. All of that is Track 2’s subject, not this one. This note is the mechanics of standing the vehicle up; Track 2 is the argument for what it becomes once it is.</w:t>
      </w:r>
    </w:p>
    <w:sectPr w:rsidR="003C449D">
      <w:headerReference w:type="default" r:id="rId7"/>
      <w:footerReference w:type="default" r:id="rId8"/>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8ADF89" w14:textId="77777777" w:rsidR="00832CD3" w:rsidRDefault="00832CD3">
      <w:r>
        <w:separator/>
      </w:r>
    </w:p>
  </w:endnote>
  <w:endnote w:type="continuationSeparator" w:id="0">
    <w:p w14:paraId="10A7B0C4" w14:textId="77777777" w:rsidR="00832CD3" w:rsidRDefault="00832C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inzel">
    <w:altName w:val="Cambria"/>
    <w:panose1 w:val="00000000000000000000"/>
    <w:charset w:val="00"/>
    <w:family w:val="roman"/>
    <w:notTrueType/>
    <w:pitch w:val="default"/>
  </w:font>
  <w:font w:name="Cormorant Garamond">
    <w:altName w:val="Cambria"/>
    <w:panose1 w:val="00000000000000000000"/>
    <w:charset w:val="00"/>
    <w:family w:val="roman"/>
    <w:notTrueType/>
    <w:pitch w:val="default"/>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847F2B" w14:textId="2732DA70" w:rsidR="003C449D" w:rsidRDefault="002E041A">
    <w:pPr>
      <w:jc w:val="center"/>
    </w:pPr>
    <w:r>
      <w:rPr>
        <w:rFonts w:ascii="Cormorant Garamond" w:eastAsia="Cormorant Garamond" w:hAnsi="Cormorant Garamond" w:cs="Cormorant Garamond"/>
        <w:color w:val="222222"/>
        <w:sz w:val="18"/>
        <w:szCs w:val="18"/>
      </w:rPr>
      <w:t xml:space="preserve">Mark Morris  ·  East West Management GmbH   </w:t>
    </w:r>
    <w:r>
      <w:rPr>
        <w:rFonts w:ascii="Cormorant Garamond" w:eastAsia="Cormorant Garamond" w:hAnsi="Cormorant Garamond" w:cs="Cormorant Garamond"/>
        <w:color w:val="222222"/>
        <w:sz w:val="18"/>
        <w:szCs w:val="18"/>
      </w:rPr>
      <w:fldChar w:fldCharType="begin"/>
    </w:r>
    <w:r>
      <w:rPr>
        <w:rFonts w:ascii="Cormorant Garamond" w:eastAsia="Cormorant Garamond" w:hAnsi="Cormorant Garamond" w:cs="Cormorant Garamond"/>
        <w:color w:val="222222"/>
        <w:sz w:val="18"/>
        <w:szCs w:val="18"/>
      </w:rPr>
      <w:instrText>PAGE</w:instrText>
    </w:r>
    <w:r>
      <w:rPr>
        <w:rFonts w:ascii="Cormorant Garamond" w:eastAsia="Cormorant Garamond" w:hAnsi="Cormorant Garamond" w:cs="Cormorant Garamond"/>
        <w:color w:val="222222"/>
        <w:sz w:val="18"/>
        <w:szCs w:val="18"/>
      </w:rPr>
      <w:fldChar w:fldCharType="separate"/>
    </w:r>
    <w:r w:rsidR="004302CD">
      <w:rPr>
        <w:rFonts w:ascii="Cormorant Garamond" w:eastAsia="Cormorant Garamond" w:hAnsi="Cormorant Garamond" w:cs="Cormorant Garamond"/>
        <w:noProof/>
        <w:color w:val="222222"/>
        <w:sz w:val="18"/>
        <w:szCs w:val="18"/>
      </w:rPr>
      <w:t>1</w:t>
    </w:r>
    <w:r>
      <w:rPr>
        <w:rFonts w:ascii="Cormorant Garamond" w:eastAsia="Cormorant Garamond" w:hAnsi="Cormorant Garamond" w:cs="Cormorant Garamond"/>
        <w:color w:val="222222"/>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7E8020" w14:textId="77777777" w:rsidR="00832CD3" w:rsidRDefault="00832CD3">
      <w:r>
        <w:separator/>
      </w:r>
    </w:p>
  </w:footnote>
  <w:footnote w:type="continuationSeparator" w:id="0">
    <w:p w14:paraId="39E0B784" w14:textId="77777777" w:rsidR="00832CD3" w:rsidRDefault="00832CD3">
      <w:r>
        <w:continuationSeparator/>
      </w:r>
    </w:p>
  </w:footnote>
  <w:footnote w:id="1">
    <w:p w14:paraId="5DD1FF32" w14:textId="77777777" w:rsidR="003C449D" w:rsidRDefault="002E041A">
      <w:r>
        <w:rPr>
          <w:rStyle w:val="FootnoteReference"/>
        </w:rPr>
        <w:footnoteRef/>
      </w:r>
      <w:r>
        <w:rPr>
          <w:rFonts w:ascii="Cormorant Garamond" w:eastAsia="Cormorant Garamond" w:hAnsi="Cormorant Garamond" w:cs="Cormorant Garamond"/>
          <w:color w:val="222222"/>
        </w:rPr>
        <w:t>Ontario Limited Partnerships Act, R.S.O. 1990, c. L.16; Declaration filed on Form 3 (Ontario Business Registry, form 5306E).</w:t>
      </w:r>
    </w:p>
  </w:footnote>
  <w:footnote w:id="2">
    <w:p w14:paraId="5C381574" w14:textId="77777777" w:rsidR="003C449D" w:rsidRDefault="002E041A">
      <w:r>
        <w:rPr>
          <w:rStyle w:val="FootnoteReference"/>
        </w:rPr>
        <w:footnoteRef/>
      </w:r>
      <w:r>
        <w:rPr>
          <w:rFonts w:ascii="Cormorant Garamond" w:eastAsia="Cormorant Garamond" w:hAnsi="Cormorant Garamond" w:cs="Cormorant Garamond"/>
          <w:color w:val="222222"/>
        </w:rPr>
        <w:t>Torys LLP, on Ontario limited partnership formation for fund structures: a registered office in Ontario where books and records are kept is generally considered sufficient.</w:t>
      </w:r>
    </w:p>
  </w:footnote>
  <w:footnote w:id="3">
    <w:p w14:paraId="6E9BD961" w14:textId="77777777" w:rsidR="003C449D" w:rsidRDefault="002E041A">
      <w:r>
        <w:rPr>
          <w:rStyle w:val="FootnoteReference"/>
        </w:rPr>
        <w:footnoteRef/>
      </w:r>
      <w:r>
        <w:rPr>
          <w:rFonts w:ascii="Cormorant Garamond" w:eastAsia="Cormorant Garamond" w:hAnsi="Cormorant Garamond" w:cs="Cormorant Garamond"/>
          <w:color w:val="222222"/>
        </w:rPr>
        <w:t>Extra-provincial licensing requirement under the Extra-Provincial Corporations Act applies to a corporate general partner formed outside Canada; no equivalent requirement applies to a non-resident individual acting as general partner.</w:t>
      </w:r>
    </w:p>
  </w:footnote>
  <w:footnote w:id="4">
    <w:p w14:paraId="6BEF6110" w14:textId="77777777" w:rsidR="003C449D" w:rsidRDefault="002E041A">
      <w:r>
        <w:rPr>
          <w:rStyle w:val="FootnoteReference"/>
        </w:rPr>
        <w:footnoteRef/>
      </w:r>
      <w:r>
        <w:rPr>
          <w:rFonts w:ascii="Cormorant Garamond" w:eastAsia="Cormorant Garamond" w:hAnsi="Cormorant Garamond" w:cs="Cormorant Garamond"/>
          <w:color w:val="222222"/>
        </w:rPr>
        <w:t>BLG, “Howdy (limited) partner: Six key features of Ontario limited partnerships” (8 October 2024): the LP agreement is not itself a filed public document, and the Act does not mandate a particular form or length.</w:t>
      </w:r>
    </w:p>
  </w:footnote>
  <w:footnote w:id="5">
    <w:p w14:paraId="596B8232" w14:textId="77777777" w:rsidR="003C449D" w:rsidRDefault="002E041A">
      <w:r>
        <w:rPr>
          <w:rStyle w:val="FootnoteReference"/>
        </w:rPr>
        <w:footnoteRef/>
      </w:r>
      <w:r>
        <w:rPr>
          <w:rFonts w:ascii="Cormorant Garamond" w:eastAsia="Cormorant Garamond" w:hAnsi="Cormorant Garamond" w:cs="Cormorant Garamond"/>
          <w:color w:val="222222"/>
        </w:rPr>
        <w:t>Income Tax Regulations, s.229(1); CRA technical interpretation 2012-0460471E5.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419052" w14:textId="77777777" w:rsidR="003C449D" w:rsidRDefault="002E041A">
    <w:pPr>
      <w:jc w:val="center"/>
    </w:pPr>
    <w:r>
      <w:rPr>
        <w:rFonts w:ascii="Cinzel" w:eastAsia="Cinzel" w:hAnsi="Cinzel" w:cs="Cinzel"/>
        <w:color w:val="B8912F"/>
        <w:sz w:val="14"/>
        <w:szCs w:val="14"/>
      </w:rPr>
      <w:t>CO-OWNERSHIPTRUST.COM</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7585ABE"/>
    <w:multiLevelType w:val="hybridMultilevel"/>
    <w:tmpl w:val="FFFFFFFF"/>
    <w:lvl w:ilvl="0" w:tplc="0A723A6A">
      <w:start w:val="1"/>
      <w:numFmt w:val="bullet"/>
      <w:lvlText w:val="●"/>
      <w:lvlJc w:val="left"/>
      <w:pPr>
        <w:ind w:left="720" w:hanging="360"/>
      </w:pPr>
    </w:lvl>
    <w:lvl w:ilvl="1" w:tplc="5628B88A">
      <w:start w:val="1"/>
      <w:numFmt w:val="bullet"/>
      <w:lvlText w:val="○"/>
      <w:lvlJc w:val="left"/>
      <w:pPr>
        <w:ind w:left="1440" w:hanging="360"/>
      </w:pPr>
    </w:lvl>
    <w:lvl w:ilvl="2" w:tplc="19A05CB0">
      <w:start w:val="1"/>
      <w:numFmt w:val="bullet"/>
      <w:lvlText w:val="■"/>
      <w:lvlJc w:val="left"/>
      <w:pPr>
        <w:ind w:left="2160" w:hanging="360"/>
      </w:pPr>
    </w:lvl>
    <w:lvl w:ilvl="3" w:tplc="5B2E8560">
      <w:start w:val="1"/>
      <w:numFmt w:val="bullet"/>
      <w:lvlText w:val="●"/>
      <w:lvlJc w:val="left"/>
      <w:pPr>
        <w:ind w:left="2880" w:hanging="360"/>
      </w:pPr>
    </w:lvl>
    <w:lvl w:ilvl="4" w:tplc="4F5ABF56">
      <w:start w:val="1"/>
      <w:numFmt w:val="bullet"/>
      <w:lvlText w:val="○"/>
      <w:lvlJc w:val="left"/>
      <w:pPr>
        <w:ind w:left="3600" w:hanging="360"/>
      </w:pPr>
    </w:lvl>
    <w:lvl w:ilvl="5" w:tplc="D90AE296">
      <w:start w:val="1"/>
      <w:numFmt w:val="bullet"/>
      <w:lvlText w:val="■"/>
      <w:lvlJc w:val="left"/>
      <w:pPr>
        <w:ind w:left="4320" w:hanging="360"/>
      </w:pPr>
    </w:lvl>
    <w:lvl w:ilvl="6" w:tplc="43940D46">
      <w:start w:val="1"/>
      <w:numFmt w:val="bullet"/>
      <w:lvlText w:val="●"/>
      <w:lvlJc w:val="left"/>
      <w:pPr>
        <w:ind w:left="5040" w:hanging="360"/>
      </w:pPr>
    </w:lvl>
    <w:lvl w:ilvl="7" w:tplc="92926AAC">
      <w:start w:val="1"/>
      <w:numFmt w:val="bullet"/>
      <w:lvlText w:val="●"/>
      <w:lvlJc w:val="left"/>
      <w:pPr>
        <w:ind w:left="5760" w:hanging="360"/>
      </w:pPr>
    </w:lvl>
    <w:lvl w:ilvl="8" w:tplc="B53E935A">
      <w:start w:val="1"/>
      <w:numFmt w:val="bullet"/>
      <w:lvlText w:val="●"/>
      <w:lvlJc w:val="left"/>
      <w:pPr>
        <w:ind w:left="6480" w:hanging="360"/>
      </w:pPr>
    </w:lvl>
  </w:abstractNum>
  <w:num w:numId="1" w16cid:durableId="2020039467">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revisionView w:inkAnnotations="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449D"/>
    <w:rsid w:val="002E041A"/>
    <w:rsid w:val="003C449D"/>
    <w:rsid w:val="004302CD"/>
    <w:rsid w:val="00832CD3"/>
    <w:rsid w:val="00B463B1"/>
    <w:rsid w:val="00E91DE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66D58B"/>
  <w15:docId w15:val="{E028348F-C7D1-E042-98E5-9A2D6D68D8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811</Words>
  <Characters>5116</Characters>
  <Application>Microsoft Office Word</Application>
  <DocSecurity>0</DocSecurity>
  <Lines>42</Lines>
  <Paragraphs>11</Paragraphs>
  <ScaleCrop>false</ScaleCrop>
  <Company/>
  <LinksUpToDate>false</LinksUpToDate>
  <CharactersWithSpaces>5916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Mark Morris</cp:lastModifiedBy>
  <cp:revision>2</cp:revision>
  <dcterms:created xsi:type="dcterms:W3CDTF">2026-09-05T20:32:00Z</dcterms:created>
  <dcterms:modified xsi:type="dcterms:W3CDTF">2026-09-05T20:32:00Z</dcterms:modified>
</cp:coreProperties>
</file>