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E8A73" w14:textId="77777777" w:rsidR="00583CA0" w:rsidRDefault="00CF6545">
      <w:pPr>
        <w:spacing w:after="200"/>
        <w:jc w:val="center"/>
      </w:pPr>
      <w:r>
        <w:rPr>
          <w:noProof/>
        </w:rPr>
        <w:drawing>
          <wp:inline distT="0" distB="0" distL="0" distR="0" wp14:anchorId="3A8A227E" wp14:editId="605A1E87">
            <wp:extent cx="5238750" cy="3562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5238750" cy="3562350"/>
                    </a:xfrm>
                    <a:prstGeom prst="rect">
                      <a:avLst/>
                    </a:prstGeom>
                  </pic:spPr>
                </pic:pic>
              </a:graphicData>
            </a:graphic>
          </wp:inline>
        </w:drawing>
      </w:r>
    </w:p>
    <w:p w14:paraId="186228DC" w14:textId="77777777" w:rsidR="00583CA0" w:rsidRDefault="00CF6545">
      <w:pPr>
        <w:spacing w:after="80"/>
      </w:pPr>
      <w:r>
        <w:rPr>
          <w:rFonts w:ascii="Cinzel" w:eastAsia="Cinzel" w:hAnsi="Cinzel" w:cs="Cinzel"/>
          <w:b/>
          <w:bCs/>
          <w:color w:val="1B2A4A"/>
          <w:sz w:val="32"/>
          <w:szCs w:val="32"/>
        </w:rPr>
        <w:t>Canada Isn't One Private-Law System. It's Two.</w:t>
      </w:r>
    </w:p>
    <w:p w14:paraId="08C6338D" w14:textId="77777777" w:rsidR="00583CA0" w:rsidRDefault="00CF6545">
      <w:pPr>
        <w:spacing w:after="200"/>
      </w:pPr>
      <w:r>
        <w:rPr>
          <w:rFonts w:ascii="Cinzel" w:eastAsia="Cinzel" w:hAnsi="Cinzel" w:cs="Cinzel"/>
          <w:i/>
          <w:iCs/>
          <w:color w:val="6E1F2A"/>
          <w:sz w:val="22"/>
          <w:szCs w:val="22"/>
        </w:rPr>
        <w:t>Why the Loonie Bear Is Not a Quebec LP</w:t>
      </w:r>
    </w:p>
    <w:p w14:paraId="36B46178" w14:textId="77777777" w:rsidR="00583CA0" w:rsidRDefault="00583CA0">
      <w:pPr>
        <w:pBdr>
          <w:bottom w:val="single" w:sz="12" w:space="1" w:color="B8912F"/>
        </w:pBdr>
        <w:spacing w:after="300"/>
      </w:pPr>
    </w:p>
    <w:p w14:paraId="410C09BE" w14:textId="77777777" w:rsidR="00583CA0" w:rsidRDefault="00CF6545">
      <w:pPr>
        <w:spacing w:before="300" w:after="150"/>
      </w:pPr>
      <w:r>
        <w:rPr>
          <w:rFonts w:ascii="Cinzel" w:eastAsia="Cinzel" w:hAnsi="Cinzel" w:cs="Cinzel"/>
          <w:b/>
          <w:bCs/>
          <w:color w:val="6E1F2A"/>
          <w:sz w:val="24"/>
          <w:szCs w:val="24"/>
        </w:rPr>
        <w:t>What that actually means</w:t>
      </w:r>
    </w:p>
    <w:p w14:paraId="05DE8D00" w14:textId="77777777" w:rsidR="00583CA0" w:rsidRDefault="00CF6545">
      <w:pPr>
        <w:spacing w:after="200" w:line="300" w:lineRule="auto"/>
      </w:pPr>
      <w:r>
        <w:rPr>
          <w:rFonts w:ascii="Cormorant Garamond" w:eastAsia="Cormorant Garamond" w:hAnsi="Cormorant Garamond" w:cs="Cormorant Garamond"/>
          <w:color w:val="222222"/>
          <w:sz w:val="24"/>
          <w:szCs w:val="24"/>
        </w:rPr>
        <w:t xml:space="preserve">Most people outside Canada assume "Canadian law" is one thing wearing ten provincial hats. It isn't — for private law, at least. Canada is a </w:t>
      </w:r>
      <w:proofErr w:type="spellStart"/>
      <w:r>
        <w:rPr>
          <w:rFonts w:ascii="Cormorant Garamond" w:eastAsia="Cormorant Garamond" w:hAnsi="Cormorant Garamond" w:cs="Cormorant Garamond"/>
          <w:color w:val="222222"/>
          <w:sz w:val="24"/>
          <w:szCs w:val="24"/>
        </w:rPr>
        <w:t>bijural</w:t>
      </w:r>
      <w:proofErr w:type="spellEnd"/>
      <w:r>
        <w:rPr>
          <w:rFonts w:ascii="Cormorant Garamond" w:eastAsia="Cormorant Garamond" w:hAnsi="Cormorant Garamond" w:cs="Cormorant Garamond"/>
          <w:color w:val="222222"/>
          <w:sz w:val="24"/>
          <w:szCs w:val="24"/>
        </w:rPr>
        <w:t xml:space="preserve"> federation: common law, inherited from England, governs private-law relations in every province and territory except one, while Quebec's private law runs on civil law, descended through the </w:t>
      </w:r>
      <w:proofErr w:type="spellStart"/>
      <w:r>
        <w:rPr>
          <w:rFonts w:ascii="Cormorant Garamond" w:eastAsia="Cormorant Garamond" w:hAnsi="Cormorant Garamond" w:cs="Cormorant Garamond"/>
          <w:color w:val="222222"/>
          <w:sz w:val="24"/>
          <w:szCs w:val="24"/>
        </w:rPr>
        <w:t>Coutume</w:t>
      </w:r>
      <w:proofErr w:type="spellEnd"/>
      <w:r>
        <w:rPr>
          <w:rFonts w:ascii="Cormorant Garamond" w:eastAsia="Cormorant Garamond" w:hAnsi="Cormorant Garamond" w:cs="Cormorant Garamond"/>
          <w:color w:val="222222"/>
          <w:sz w:val="24"/>
          <w:szCs w:val="24"/>
        </w:rPr>
        <w:t xml:space="preserve"> de Paris and, since 1866, its own Civil Code (now the 1994 Civil Code of Québec). Public law doesn't split along the same line — this is specifically a private-law divide.</w:t>
      </w:r>
    </w:p>
    <w:p w14:paraId="45D3FDB6" w14:textId="77777777" w:rsidR="00583CA0" w:rsidRDefault="00CF6545">
      <w:pPr>
        <w:spacing w:after="200" w:line="300" w:lineRule="auto"/>
      </w:pPr>
      <w:r>
        <w:rPr>
          <w:rFonts w:ascii="Cormorant Garamond" w:eastAsia="Cormorant Garamond" w:hAnsi="Cormorant Garamond" w:cs="Cormorant Garamond"/>
          <w:color w:val="222222"/>
          <w:sz w:val="24"/>
          <w:szCs w:val="24"/>
        </w:rPr>
        <w:t>This isn't a historical curiosity. Private law — property, contracts, trusts, partnerships, successions — is provincial jurisdiction in Canada, so Quebec's substantive rules genuinely diverge from every other province's. Federal statutes are drafted "</w:t>
      </w:r>
      <w:proofErr w:type="spellStart"/>
      <w:r>
        <w:rPr>
          <w:rFonts w:ascii="Cormorant Garamond" w:eastAsia="Cormorant Garamond" w:hAnsi="Cormorant Garamond" w:cs="Cormorant Garamond"/>
          <w:color w:val="222222"/>
          <w:sz w:val="24"/>
          <w:szCs w:val="24"/>
        </w:rPr>
        <w:t>bijurally</w:t>
      </w:r>
      <w:proofErr w:type="spellEnd"/>
      <w:r>
        <w:rPr>
          <w:rFonts w:ascii="Cormorant Garamond" w:eastAsia="Cormorant Garamond" w:hAnsi="Cormorant Garamond" w:cs="Cormorant Garamond"/>
          <w:color w:val="222222"/>
          <w:sz w:val="24"/>
          <w:szCs w:val="24"/>
        </w:rPr>
        <w:t>," carrying parallel common-law and civil-law terminology in the same provision, precisely because the two systems don't map onto each other cleanly. Criminal law and federal tax stay uniform nationally; the private-law toolkit does not.</w:t>
      </w:r>
    </w:p>
    <w:p w14:paraId="70B8F83F" w14:textId="77777777" w:rsidR="00583CA0" w:rsidRDefault="00CF6545">
      <w:pPr>
        <w:spacing w:before="300" w:after="150"/>
      </w:pPr>
      <w:r>
        <w:rPr>
          <w:rFonts w:ascii="Cinzel" w:eastAsia="Cinzel" w:hAnsi="Cinzel" w:cs="Cinzel"/>
          <w:b/>
          <w:bCs/>
          <w:color w:val="6E1F2A"/>
          <w:sz w:val="24"/>
          <w:szCs w:val="24"/>
        </w:rPr>
        <w:lastRenderedPageBreak/>
        <w:t>Why the province you pick for a Canadian vehicle is a reasoned choice, not an address</w:t>
      </w:r>
    </w:p>
    <w:p w14:paraId="03186D85" w14:textId="77777777" w:rsidR="00583CA0" w:rsidRDefault="00CF6545">
      <w:pPr>
        <w:spacing w:after="200" w:line="300" w:lineRule="auto"/>
      </w:pPr>
      <w:r>
        <w:rPr>
          <w:rFonts w:ascii="Cormorant Garamond" w:eastAsia="Cormorant Garamond" w:hAnsi="Cormorant Garamond" w:cs="Cormorant Garamond"/>
          <w:color w:val="222222"/>
          <w:sz w:val="24"/>
          <w:szCs w:val="24"/>
        </w:rPr>
        <w:t>This matters the moment you're choosing where, inside Canada, to place a structure. Take a limited partnership — the architecture behind Loonie Bear, the Canadian entry in this suite. An Ontario LP sits inside a common-law framework: a limited partner holds a partnership interest directly, with no split between legal and beneficial ownership anywhere in the arrangement. That absence of a legal/beneficial split is exactly what makes an ordinary common-law partnership structurally different from a trust.</w:t>
      </w:r>
    </w:p>
    <w:p w14:paraId="5B2E38B1" w14:textId="77777777" w:rsidR="00583CA0" w:rsidRDefault="00CF6545">
      <w:pPr>
        <w:spacing w:after="200" w:line="300" w:lineRule="auto"/>
      </w:pPr>
      <w:r>
        <w:rPr>
          <w:rFonts w:ascii="Cormorant Garamond" w:eastAsia="Cormorant Garamond" w:hAnsi="Cormorant Garamond" w:cs="Cormorant Garamond"/>
          <w:color w:val="222222"/>
          <w:sz w:val="24"/>
          <w:szCs w:val="24"/>
        </w:rPr>
        <w:t xml:space="preserve">Move the same idea to Quebec and the ground changes entirely. A Quebec </w:t>
      </w:r>
      <w:r>
        <w:rPr>
          <w:rFonts w:ascii="Cormorant Garamond" w:eastAsia="Cormorant Garamond" w:hAnsi="Cormorant Garamond" w:cs="Cormorant Garamond"/>
          <w:i/>
          <w:iCs/>
          <w:color w:val="222222"/>
          <w:sz w:val="24"/>
          <w:szCs w:val="24"/>
        </w:rPr>
        <w:t xml:space="preserve">société </w:t>
      </w:r>
      <w:proofErr w:type="spellStart"/>
      <w:r>
        <w:rPr>
          <w:rFonts w:ascii="Cormorant Garamond" w:eastAsia="Cormorant Garamond" w:hAnsi="Cormorant Garamond" w:cs="Cormorant Garamond"/>
          <w:i/>
          <w:iCs/>
          <w:color w:val="222222"/>
          <w:sz w:val="24"/>
          <w:szCs w:val="24"/>
        </w:rPr>
        <w:t>en</w:t>
      </w:r>
      <w:proofErr w:type="spellEnd"/>
      <w:r>
        <w:rPr>
          <w:rFonts w:ascii="Cormorant Garamond" w:eastAsia="Cormorant Garamond" w:hAnsi="Cormorant Garamond" w:cs="Cormorant Garamond"/>
          <w:i/>
          <w:iCs/>
          <w:color w:val="222222"/>
          <w:sz w:val="24"/>
          <w:szCs w:val="24"/>
        </w:rPr>
        <w:t xml:space="preserve"> </w:t>
      </w:r>
      <w:proofErr w:type="spellStart"/>
      <w:r>
        <w:rPr>
          <w:rFonts w:ascii="Cormorant Garamond" w:eastAsia="Cormorant Garamond" w:hAnsi="Cormorant Garamond" w:cs="Cormorant Garamond"/>
          <w:i/>
          <w:iCs/>
          <w:color w:val="222222"/>
          <w:sz w:val="24"/>
          <w:szCs w:val="24"/>
        </w:rPr>
        <w:t>commandite</w:t>
      </w:r>
      <w:proofErr w:type="spellEnd"/>
      <w:r>
        <w:rPr>
          <w:rFonts w:ascii="Cormorant Garamond" w:eastAsia="Cormorant Garamond" w:hAnsi="Cormorant Garamond" w:cs="Cormorant Garamond"/>
          <w:color w:val="222222"/>
          <w:sz w:val="24"/>
          <w:szCs w:val="24"/>
        </w:rPr>
        <w:t xml:space="preserve"> sits inside a civil-law system whose own trust-equivalent concept — the </w:t>
      </w:r>
      <w:proofErr w:type="spellStart"/>
      <w:r>
        <w:rPr>
          <w:rFonts w:ascii="Cormorant Garamond" w:eastAsia="Cormorant Garamond" w:hAnsi="Cormorant Garamond" w:cs="Cormorant Garamond"/>
          <w:i/>
          <w:iCs/>
          <w:color w:val="222222"/>
          <w:sz w:val="24"/>
          <w:szCs w:val="24"/>
        </w:rPr>
        <w:t>fiducie</w:t>
      </w:r>
      <w:proofErr w:type="spellEnd"/>
      <w:r>
        <w:rPr>
          <w:rFonts w:ascii="Cormorant Garamond" w:eastAsia="Cormorant Garamond" w:hAnsi="Cormorant Garamond" w:cs="Cormorant Garamond"/>
          <w:color w:val="222222"/>
          <w:sz w:val="24"/>
          <w:szCs w:val="24"/>
        </w:rPr>
        <w:t xml:space="preserve"> — works nothing like a common-law trust or the LP argument built on top of one. Which means the question "why Ontario and not Quebec" isn't really a geography question. It's asking whether the jurisdiction was chosen for genuine connection to the client's affairs, or because its private-law tradition supplies a specific legal argument the client needs. Those can be the same answer. They should be. But the question deserves an honest one, not a reflexive one.</w:t>
      </w:r>
    </w:p>
    <w:p w14:paraId="1741D30B" w14:textId="77777777" w:rsidR="00583CA0" w:rsidRDefault="00CF6545">
      <w:pPr>
        <w:spacing w:before="300" w:after="150"/>
      </w:pPr>
      <w:r>
        <w:rPr>
          <w:rFonts w:ascii="Cinzel" w:eastAsia="Cinzel" w:hAnsi="Cinzel" w:cs="Cinzel"/>
          <w:b/>
          <w:bCs/>
          <w:color w:val="6E1F2A"/>
          <w:sz w:val="24"/>
          <w:szCs w:val="24"/>
        </w:rPr>
        <w:t>Does Quebec have foundations? Yes and no — and the "no" is the interesting part</w:t>
      </w:r>
    </w:p>
    <w:p w14:paraId="534A1753" w14:textId="77777777" w:rsidR="00583CA0" w:rsidRDefault="00CF6545">
      <w:pPr>
        <w:spacing w:after="200" w:line="300" w:lineRule="auto"/>
      </w:pPr>
      <w:r>
        <w:rPr>
          <w:rFonts w:ascii="Cormorant Garamond" w:eastAsia="Cormorant Garamond" w:hAnsi="Cormorant Garamond" w:cs="Cormorant Garamond"/>
          <w:color w:val="222222"/>
          <w:sz w:val="24"/>
          <w:szCs w:val="24"/>
        </w:rPr>
        <w:t>Quebec does have private foundations in the philanthropic sense: registered charities, controlled by a single donor or family. Their registration and tax treatment are governed under the federal Income Tax Act and administered by the CRA, the same as in every other province — but incorporation, governance and the property-law consequences of running one can still engage provincial law, so "federally regulated" describes the tax status, not the whole legal picture.</w:t>
      </w:r>
    </w:p>
    <w:p w14:paraId="5C6DAC2F" w14:textId="77777777" w:rsidR="00583CA0" w:rsidRDefault="00CF6545">
      <w:pPr>
        <w:spacing w:after="200" w:line="300" w:lineRule="auto"/>
      </w:pPr>
      <w:r>
        <w:rPr>
          <w:rFonts w:ascii="Cormorant Garamond" w:eastAsia="Cormorant Garamond" w:hAnsi="Cormorant Garamond" w:cs="Cormorant Garamond"/>
          <w:color w:val="222222"/>
          <w:sz w:val="24"/>
          <w:szCs w:val="24"/>
        </w:rPr>
        <w:t xml:space="preserve">That philanthropic vehicle is not the same thing as a private-benefit foundation in the Liechtenstein or Panamanian sense. Quebec does not provide a domestic private-benefit foundation form equivalent to the Liechtenstein </w:t>
      </w:r>
      <w:r>
        <w:rPr>
          <w:rFonts w:ascii="Cormorant Garamond" w:eastAsia="Cormorant Garamond" w:hAnsi="Cormorant Garamond" w:cs="Cormorant Garamond"/>
          <w:i/>
          <w:iCs/>
          <w:color w:val="222222"/>
          <w:sz w:val="24"/>
          <w:szCs w:val="24"/>
        </w:rPr>
        <w:t>Stiftung</w:t>
      </w:r>
      <w:r>
        <w:rPr>
          <w:rFonts w:ascii="Cormorant Garamond" w:eastAsia="Cormorant Garamond" w:hAnsi="Cormorant Garamond" w:cs="Cormorant Garamond"/>
          <w:color w:val="222222"/>
          <w:sz w:val="24"/>
          <w:szCs w:val="24"/>
        </w:rPr>
        <w:t xml:space="preserve"> or a Panamanian private-interest foundation — a purpose-created legal person designed to hold private wealth for identified beneficiaries with no charitable purpose required. That concept has no home in the Civil Code of Québec.</w:t>
      </w:r>
    </w:p>
    <w:p w14:paraId="76736987" w14:textId="77777777" w:rsidR="00583CA0" w:rsidRDefault="00CF6545">
      <w:pPr>
        <w:spacing w:after="200" w:line="300" w:lineRule="auto"/>
      </w:pPr>
      <w:r>
        <w:rPr>
          <w:rFonts w:ascii="Cormorant Garamond" w:eastAsia="Cormorant Garamond" w:hAnsi="Cormorant Garamond" w:cs="Cormorant Garamond"/>
          <w:color w:val="222222"/>
          <w:sz w:val="24"/>
          <w:szCs w:val="24"/>
        </w:rPr>
        <w:t xml:space="preserve">What Quebec has instead, for purpose-bound private wealth, is the </w:t>
      </w:r>
      <w:proofErr w:type="spellStart"/>
      <w:r>
        <w:rPr>
          <w:rFonts w:ascii="Cormorant Garamond" w:eastAsia="Cormorant Garamond" w:hAnsi="Cormorant Garamond" w:cs="Cormorant Garamond"/>
          <w:i/>
          <w:iCs/>
          <w:color w:val="222222"/>
          <w:sz w:val="24"/>
          <w:szCs w:val="24"/>
        </w:rPr>
        <w:t>fiducie</w:t>
      </w:r>
      <w:proofErr w:type="spellEnd"/>
      <w:r>
        <w:rPr>
          <w:rFonts w:ascii="Cormorant Garamond" w:eastAsia="Cormorant Garamond" w:hAnsi="Cormorant Garamond" w:cs="Cormorant Garamond"/>
          <w:color w:val="222222"/>
          <w:sz w:val="24"/>
          <w:szCs w:val="24"/>
        </w:rPr>
        <w:t xml:space="preserve"> — and it's worth being precise about why it isn't simply "Quebec's word for trust," or a civil-law foundation by another name. Article 1260 of the Civil Code of Québec sets out how a </w:t>
      </w:r>
      <w:proofErr w:type="spellStart"/>
      <w:r>
        <w:rPr>
          <w:rFonts w:ascii="Cormorant Garamond" w:eastAsia="Cormorant Garamond" w:hAnsi="Cormorant Garamond" w:cs="Cormorant Garamond"/>
          <w:i/>
          <w:iCs/>
          <w:color w:val="222222"/>
          <w:sz w:val="24"/>
          <w:szCs w:val="24"/>
        </w:rPr>
        <w:t>fiducie</w:t>
      </w:r>
      <w:proofErr w:type="spellEnd"/>
      <w:r>
        <w:rPr>
          <w:rFonts w:ascii="Cormorant Garamond" w:eastAsia="Cormorant Garamond" w:hAnsi="Cormorant Garamond" w:cs="Cormorant Garamond"/>
          <w:color w:val="222222"/>
          <w:sz w:val="24"/>
          <w:szCs w:val="24"/>
        </w:rPr>
        <w:t xml:space="preserve"> arises: a settlor transfers property from their own patrimony into another patrimony, constituted for a particular purpose, which a </w:t>
      </w:r>
      <w:proofErr w:type="spellStart"/>
      <w:r>
        <w:rPr>
          <w:rFonts w:ascii="Cormorant Garamond" w:eastAsia="Cormorant Garamond" w:hAnsi="Cormorant Garamond" w:cs="Cormorant Garamond"/>
          <w:i/>
          <w:iCs/>
          <w:color w:val="222222"/>
          <w:sz w:val="24"/>
          <w:szCs w:val="24"/>
        </w:rPr>
        <w:t>fiduciaire</w:t>
      </w:r>
      <w:proofErr w:type="spellEnd"/>
      <w:r>
        <w:rPr>
          <w:rFonts w:ascii="Cormorant Garamond" w:eastAsia="Cormorant Garamond" w:hAnsi="Cormorant Garamond" w:cs="Cormorant Garamond"/>
          <w:color w:val="222222"/>
          <w:sz w:val="24"/>
          <w:szCs w:val="24"/>
        </w:rPr>
        <w:t xml:space="preserve"> undertakes to hold and administer. Article 1261 </w:t>
      </w:r>
      <w:r>
        <w:rPr>
          <w:rFonts w:ascii="Cormorant Garamond" w:eastAsia="Cormorant Garamond" w:hAnsi="Cormorant Garamond" w:cs="Cormorant Garamond"/>
          <w:color w:val="222222"/>
          <w:sz w:val="24"/>
          <w:szCs w:val="24"/>
        </w:rPr>
        <w:lastRenderedPageBreak/>
        <w:t xml:space="preserve">then supplies the decisive feature: the resulting trust patrimony is autonomous and distinct from the patrimony of the settlor, the </w:t>
      </w:r>
      <w:proofErr w:type="spellStart"/>
      <w:r>
        <w:rPr>
          <w:rFonts w:ascii="Cormorant Garamond" w:eastAsia="Cormorant Garamond" w:hAnsi="Cormorant Garamond" w:cs="Cormorant Garamond"/>
          <w:i/>
          <w:iCs/>
          <w:color w:val="222222"/>
          <w:sz w:val="24"/>
          <w:szCs w:val="24"/>
        </w:rPr>
        <w:t>fiduciaire</w:t>
      </w:r>
      <w:proofErr w:type="spellEnd"/>
      <w:r>
        <w:rPr>
          <w:rFonts w:ascii="Cormorant Garamond" w:eastAsia="Cormorant Garamond" w:hAnsi="Cormorant Garamond" w:cs="Cormorant Garamond"/>
          <w:color w:val="222222"/>
          <w:sz w:val="24"/>
          <w:szCs w:val="24"/>
        </w:rPr>
        <w:t>, and the beneficiary — and none of them holds a real right in it. Nobody owns it. That is a genuinely different construction from a common-law trust, where the trustee holds legal title, and from a civil-law foundation, which is a separate legal person that owns its own assets outright. Quebec built a third thing. The Ontario-versus-Quebec comparison is worth making precisely because of this — it isn't two systems offering the same tool with different paperwork, it's two systems that don't agree on what the tool even is.</w:t>
      </w:r>
    </w:p>
    <w:p w14:paraId="44A453CF" w14:textId="77777777" w:rsidR="00583CA0" w:rsidRDefault="00CF6545">
      <w:pPr>
        <w:spacing w:before="300" w:after="150"/>
      </w:pPr>
      <w:r>
        <w:rPr>
          <w:rFonts w:ascii="Cinzel" w:eastAsia="Cinzel" w:hAnsi="Cinzel" w:cs="Cinzel"/>
          <w:b/>
          <w:bCs/>
          <w:color w:val="6E1F2A"/>
          <w:sz w:val="24"/>
          <w:szCs w:val="24"/>
        </w:rPr>
        <w:t>Why this matters beyond Canada: the purpose question a professional has to ask</w:t>
      </w:r>
    </w:p>
    <w:p w14:paraId="6F2FF819" w14:textId="77777777" w:rsidR="00583CA0" w:rsidRDefault="00CF6545">
      <w:pPr>
        <w:spacing w:after="200" w:line="300" w:lineRule="auto"/>
      </w:pPr>
      <w:r>
        <w:rPr>
          <w:rFonts w:ascii="Cormorant Garamond" w:eastAsia="Cormorant Garamond" w:hAnsi="Cormorant Garamond" w:cs="Cormorant Garamond"/>
          <w:color w:val="222222"/>
          <w:sz w:val="24"/>
          <w:szCs w:val="24"/>
        </w:rPr>
        <w:t>The same principle that governs which Canadian province to choose applies with more force to a different, more consequential request: "set up a charitable foundation."</w:t>
      </w:r>
    </w:p>
    <w:p w14:paraId="1E4DD75D" w14:textId="77777777" w:rsidR="00583CA0" w:rsidRDefault="00CF6545">
      <w:pPr>
        <w:spacing w:after="200" w:line="300" w:lineRule="auto"/>
      </w:pPr>
      <w:r>
        <w:rPr>
          <w:rFonts w:ascii="Cormorant Garamond" w:eastAsia="Cormorant Garamond" w:hAnsi="Cormorant Garamond" w:cs="Cormorant Garamond"/>
          <w:color w:val="222222"/>
          <w:sz w:val="24"/>
          <w:szCs w:val="24"/>
        </w:rPr>
        <w:t>Charitable and non-profit status can carry materially different tax, AML and CRS consequences from an ordinary private-wealth structure — different reporting treatment, different scrutiny on cross-border transfers, different regulatory posture entirely. That difference is exactly what creates an incentive to present a private-wealth vehicle as a charitable one when it suits, and a professional asked to set one up without being told why is being asked to build something without knowing which of two very different things it actually is.</w:t>
      </w:r>
    </w:p>
    <w:p w14:paraId="2B4BBD10" w14:textId="77777777" w:rsidR="00583CA0" w:rsidRDefault="00CF6545">
      <w:pPr>
        <w:spacing w:after="200" w:line="300" w:lineRule="auto"/>
      </w:pPr>
      <w:r>
        <w:rPr>
          <w:rFonts w:ascii="Cormorant Garamond" w:eastAsia="Cormorant Garamond" w:hAnsi="Cormorant Garamond" w:cs="Cormorant Garamond"/>
          <w:color w:val="222222"/>
          <w:sz w:val="24"/>
          <w:szCs w:val="24"/>
        </w:rPr>
        <w:t>History shows what happens when that question doesn't get asked and governance fails. For much of the twentieth century, Liechtenstein charitable foundations were not subject to any dedicated state supervisory body — nothing existed to independently confirm that a foundation's stated common-benefit purpose was actually being served, or that a foundation council wasn't quietly compensating itself instead of pursuing that purpose. Liechtenstein's 2009 reform of its Law on Foundations changed this by creating the Foundation Supervisory Authority (STIFA) as a dedicated body specifically tasked, in its own words, with monitoring abuse of common-benefit foundations — confirming that assets are managed and applied in accordance with their stated purpose, with the power to seek court intervention where they aren't. Private-benefit foundations are not subject to that same mandatory public supervision merely by virtue of being private-benefit — though supervision can still arise if the foundation deed provides for it, and STIFA retains defined verification functions over certain formation and amendment notifications regardless. The central distinction is that statutory public supervision attaches specifically to the common-benefit claim.</w:t>
      </w:r>
    </w:p>
    <w:p w14:paraId="13A0E415" w14:textId="77777777" w:rsidR="00583CA0" w:rsidRDefault="00CF6545">
      <w:pPr>
        <w:spacing w:after="200" w:line="300" w:lineRule="auto"/>
      </w:pPr>
      <w:r>
        <w:rPr>
          <w:rFonts w:ascii="Cormorant Garamond" w:eastAsia="Cormorant Garamond" w:hAnsi="Cormorant Garamond" w:cs="Cormorant Garamond"/>
          <w:color w:val="222222"/>
          <w:sz w:val="24"/>
          <w:szCs w:val="24"/>
        </w:rPr>
        <w:t>That history isn't a blueprint for anything. It's the reason the question has to be asked at all.</w:t>
      </w:r>
    </w:p>
    <w:p w14:paraId="1E5AC83B" w14:textId="77777777" w:rsidR="00583CA0" w:rsidRDefault="00CF6545">
      <w:pPr>
        <w:pBdr>
          <w:left w:val="single" w:sz="18" w:space="12" w:color="B8912F"/>
        </w:pBdr>
        <w:spacing w:before="200" w:after="200"/>
        <w:ind w:left="260"/>
      </w:pPr>
      <w:r>
        <w:rPr>
          <w:rFonts w:ascii="Cormorant Garamond" w:eastAsia="Cormorant Garamond" w:hAnsi="Cormorant Garamond" w:cs="Cormorant Garamond"/>
          <w:b/>
          <w:bCs/>
          <w:i/>
          <w:iCs/>
          <w:color w:val="1B2A4A"/>
          <w:sz w:val="26"/>
          <w:szCs w:val="26"/>
        </w:rPr>
        <w:lastRenderedPageBreak/>
        <w:t>The legal form someone asks for is never neutral, and refusing to say why is itself information.</w:t>
      </w:r>
    </w:p>
    <w:p w14:paraId="1BC047AB" w14:textId="77777777" w:rsidR="00583CA0" w:rsidRDefault="00CF6545">
      <w:pPr>
        <w:pBdr>
          <w:top w:val="single" w:sz="6" w:space="8" w:color="B8912F"/>
        </w:pBdr>
        <w:spacing w:before="300" w:after="100"/>
      </w:pPr>
      <w:r>
        <w:rPr>
          <w:rFonts w:ascii="Cormorant Garamond" w:eastAsia="Cormorant Garamond" w:hAnsi="Cormorant Garamond" w:cs="Cormorant Garamond"/>
          <w:i/>
          <w:iCs/>
          <w:color w:val="555555"/>
          <w:sz w:val="18"/>
          <w:szCs w:val="18"/>
        </w:rPr>
        <w:t xml:space="preserve">Primary-source note: Articles 1260 and 1261 of the Civil Code of Québec confirmed verbatim against </w:t>
      </w:r>
      <w:proofErr w:type="spellStart"/>
      <w:r>
        <w:rPr>
          <w:rFonts w:ascii="Cormorant Garamond" w:eastAsia="Cormorant Garamond" w:hAnsi="Cormorant Garamond" w:cs="Cormorant Garamond"/>
          <w:i/>
          <w:iCs/>
          <w:color w:val="555555"/>
          <w:sz w:val="18"/>
          <w:szCs w:val="18"/>
        </w:rPr>
        <w:t>LégisQuébec</w:t>
      </w:r>
      <w:proofErr w:type="spellEnd"/>
      <w:r>
        <w:rPr>
          <w:rFonts w:ascii="Cormorant Garamond" w:eastAsia="Cormorant Garamond" w:hAnsi="Cormorant Garamond" w:cs="Cormorant Garamond"/>
          <w:i/>
          <w:iCs/>
          <w:color w:val="555555"/>
          <w:sz w:val="18"/>
          <w:szCs w:val="18"/>
        </w:rPr>
        <w:t>. STIFA's supervisory mandate, its 2009 origin, and the private-benefit/common-benefit supervisory distinction are confirmed against the Foundation Supervisory Authority's own published materials (stifa.li) and the Law on Persons and Companies, Art. 552 PGR. Any causal claim linking a specific historical abuse pattern to the 2009 reform is not asserted here and would need independent verification before publication.</w:t>
      </w:r>
    </w:p>
    <w:sectPr w:rsidR="00583CA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inzel">
    <w:altName w:val="Cambria"/>
    <w:panose1 w:val="00000000000000000000"/>
    <w:charset w:val="00"/>
    <w:family w:val="roman"/>
    <w:notTrueType/>
    <w:pitch w:val="default"/>
  </w:font>
  <w:font w:name="Cormorant Garamond">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2172BF"/>
    <w:multiLevelType w:val="hybridMultilevel"/>
    <w:tmpl w:val="FFFFFFFF"/>
    <w:lvl w:ilvl="0" w:tplc="A25A0882">
      <w:start w:val="1"/>
      <w:numFmt w:val="bullet"/>
      <w:lvlText w:val="●"/>
      <w:lvlJc w:val="left"/>
      <w:pPr>
        <w:ind w:left="720" w:hanging="360"/>
      </w:pPr>
    </w:lvl>
    <w:lvl w:ilvl="1" w:tplc="ACF47F00">
      <w:start w:val="1"/>
      <w:numFmt w:val="bullet"/>
      <w:lvlText w:val="○"/>
      <w:lvlJc w:val="left"/>
      <w:pPr>
        <w:ind w:left="1440" w:hanging="360"/>
      </w:pPr>
    </w:lvl>
    <w:lvl w:ilvl="2" w:tplc="A09AAF48">
      <w:start w:val="1"/>
      <w:numFmt w:val="bullet"/>
      <w:lvlText w:val="■"/>
      <w:lvlJc w:val="left"/>
      <w:pPr>
        <w:ind w:left="2160" w:hanging="360"/>
      </w:pPr>
    </w:lvl>
    <w:lvl w:ilvl="3" w:tplc="D616B9FC">
      <w:start w:val="1"/>
      <w:numFmt w:val="bullet"/>
      <w:lvlText w:val="●"/>
      <w:lvlJc w:val="left"/>
      <w:pPr>
        <w:ind w:left="2880" w:hanging="360"/>
      </w:pPr>
    </w:lvl>
    <w:lvl w:ilvl="4" w:tplc="A800837A">
      <w:start w:val="1"/>
      <w:numFmt w:val="bullet"/>
      <w:lvlText w:val="○"/>
      <w:lvlJc w:val="left"/>
      <w:pPr>
        <w:ind w:left="3600" w:hanging="360"/>
      </w:pPr>
    </w:lvl>
    <w:lvl w:ilvl="5" w:tplc="48961202">
      <w:start w:val="1"/>
      <w:numFmt w:val="bullet"/>
      <w:lvlText w:val="■"/>
      <w:lvlJc w:val="left"/>
      <w:pPr>
        <w:ind w:left="4320" w:hanging="360"/>
      </w:pPr>
    </w:lvl>
    <w:lvl w:ilvl="6" w:tplc="5BB0C1C0">
      <w:start w:val="1"/>
      <w:numFmt w:val="bullet"/>
      <w:lvlText w:val="●"/>
      <w:lvlJc w:val="left"/>
      <w:pPr>
        <w:ind w:left="5040" w:hanging="360"/>
      </w:pPr>
    </w:lvl>
    <w:lvl w:ilvl="7" w:tplc="53F0977A">
      <w:start w:val="1"/>
      <w:numFmt w:val="bullet"/>
      <w:lvlText w:val="●"/>
      <w:lvlJc w:val="left"/>
      <w:pPr>
        <w:ind w:left="5760" w:hanging="360"/>
      </w:pPr>
    </w:lvl>
    <w:lvl w:ilvl="8" w:tplc="B18CECDC">
      <w:start w:val="1"/>
      <w:numFmt w:val="bullet"/>
      <w:lvlText w:val="●"/>
      <w:lvlJc w:val="left"/>
      <w:pPr>
        <w:ind w:left="6480" w:hanging="360"/>
      </w:pPr>
    </w:lvl>
  </w:abstractNum>
  <w:num w:numId="1" w16cid:durableId="32914220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CA0"/>
    <w:rsid w:val="00044EAB"/>
    <w:rsid w:val="001A6A45"/>
    <w:rsid w:val="00583CA0"/>
    <w:rsid w:val="0066607F"/>
    <w:rsid w:val="00B127E2"/>
    <w:rsid w:val="00CF65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B70D9"/>
  <w15:docId w15:val="{42D2C0B7-C8C0-5B41-8801-B2969B75B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994</Words>
  <Characters>6263</Characters>
  <Application>Microsoft Office Word</Application>
  <DocSecurity>0</DocSecurity>
  <Lines>52</Lines>
  <Paragraphs>14</Paragraphs>
  <ScaleCrop>false</ScaleCrop>
  <Company/>
  <LinksUpToDate>false</LinksUpToDate>
  <CharactersWithSpaces>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Mark Morris</cp:lastModifiedBy>
  <cp:revision>2</cp:revision>
  <dcterms:created xsi:type="dcterms:W3CDTF">2026-09-10T13:14:00Z</dcterms:created>
  <dcterms:modified xsi:type="dcterms:W3CDTF">2026-09-10T13:14:00Z</dcterms:modified>
</cp:coreProperties>
</file>