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2577E" w14:textId="77777777" w:rsidR="00023C51" w:rsidRDefault="00734DD7">
      <w:pPr>
        <w:spacing w:after="240"/>
        <w:jc w:val="center"/>
      </w:pPr>
      <w:r>
        <w:rPr>
          <w:noProof/>
        </w:rPr>
        <w:drawing>
          <wp:inline distT="0" distB="0" distL="0" distR="0" wp14:anchorId="79BF9B89" wp14:editId="46BEC1C4">
            <wp:extent cx="5715000" cy="381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3810000"/>
                    </a:xfrm>
                    <a:prstGeom prst="rect">
                      <a:avLst/>
                    </a:prstGeom>
                  </pic:spPr>
                </pic:pic>
              </a:graphicData>
            </a:graphic>
          </wp:inline>
        </w:drawing>
      </w:r>
    </w:p>
    <w:p w14:paraId="21F36227" w14:textId="77777777" w:rsidR="00023C51" w:rsidRDefault="00734DD7">
      <w:pPr>
        <w:spacing w:after="80"/>
      </w:pPr>
      <w:r>
        <w:rPr>
          <w:rFonts w:ascii="Georgia" w:eastAsia="Georgia" w:hAnsi="Georgia" w:cs="Georgia"/>
          <w:b/>
          <w:bCs/>
          <w:color w:val="1F2A44"/>
          <w:sz w:val="40"/>
          <w:szCs w:val="40"/>
        </w:rPr>
        <w:t>The Loonie Bear: A Canadian Partnership, Run From the Arctic</w:t>
      </w:r>
    </w:p>
    <w:p w14:paraId="110942DE" w14:textId="77777777" w:rsidR="00023C51" w:rsidRDefault="00734DD7">
      <w:pPr>
        <w:pBdr>
          <w:bottom w:val="single" w:sz="8" w:space="8" w:color="B22234"/>
        </w:pBdr>
        <w:spacing w:after="240"/>
      </w:pPr>
      <w:r>
        <w:rPr>
          <w:rFonts w:ascii="Georgia" w:eastAsia="Georgia" w:hAnsi="Georgia" w:cs="Georgia"/>
          <w:i/>
          <w:iCs/>
          <w:color w:val="666666"/>
          <w:sz w:val="25"/>
          <w:szCs w:val="25"/>
        </w:rPr>
        <w:t>Why a vehicle from one of the world's most ordinary jurisdictions ends up outside CRS reporting</w:t>
      </w:r>
    </w:p>
    <w:p w14:paraId="2B570A2E" w14:textId="77777777" w:rsidR="00023C51" w:rsidRDefault="00734DD7">
      <w:pPr>
        <w:spacing w:before="320" w:after="120"/>
      </w:pPr>
      <w:r>
        <w:rPr>
          <w:rFonts w:ascii="Georgia" w:eastAsia="Georgia" w:hAnsi="Georgia" w:cs="Georgia"/>
          <w:b/>
          <w:bCs/>
          <w:color w:val="B22234"/>
          <w:sz w:val="28"/>
          <w:szCs w:val="28"/>
        </w:rPr>
        <w:t>What it is</w:t>
      </w:r>
    </w:p>
    <w:p w14:paraId="452E3DC9" w14:textId="77777777" w:rsidR="00023C51" w:rsidRDefault="00734DD7">
      <w:pPr>
        <w:spacing w:after="160" w:line="300" w:lineRule="auto"/>
      </w:pPr>
      <w:r>
        <w:rPr>
          <w:rFonts w:ascii="Georgia" w:eastAsia="Georgia" w:hAnsi="Georgia" w:cs="Georgia"/>
          <w:color w:val="222222"/>
          <w:sz w:val="23"/>
          <w:szCs w:val="23"/>
        </w:rPr>
        <w:t>The Loonie Bear is an Ontario limited partnership. It's named after the Canadian one-dollar coin. It's not offshore, it's not exotic, and nobody at a bank raises an eyebrow at the word “Canada.” That's deliberate.</w:t>
      </w:r>
    </w:p>
    <w:p w14:paraId="1A050EE8" w14:textId="77777777" w:rsidR="00023C51" w:rsidRDefault="00734DD7">
      <w:pPr>
        <w:spacing w:after="160" w:line="300" w:lineRule="auto"/>
      </w:pPr>
      <w:r>
        <w:rPr>
          <w:rFonts w:ascii="Georgia" w:eastAsia="Georgia" w:hAnsi="Georgia" w:cs="Georgia"/>
          <w:color w:val="222222"/>
          <w:sz w:val="23"/>
          <w:szCs w:val="23"/>
        </w:rPr>
        <w:t>It has two partners:</w:t>
      </w:r>
    </w:p>
    <w:p w14:paraId="4F198750" w14:textId="77777777" w:rsidR="00023C51" w:rsidRDefault="00734DD7">
      <w:pPr>
        <w:pStyle w:val="ListParagraph"/>
        <w:numPr>
          <w:ilvl w:val="0"/>
          <w:numId w:val="2"/>
        </w:numPr>
        <w:spacing w:after="80" w:line="290" w:lineRule="auto"/>
      </w:pPr>
      <w:r>
        <w:rPr>
          <w:rFonts w:ascii="Georgia" w:eastAsia="Georgia" w:hAnsi="Georgia" w:cs="Georgia"/>
          <w:b/>
          <w:bCs/>
          <w:color w:val="222222"/>
          <w:sz w:val="23"/>
          <w:szCs w:val="23"/>
        </w:rPr>
        <w:t>The general partner</w:t>
      </w:r>
      <w:r>
        <w:rPr>
          <w:rFonts w:ascii="Georgia" w:eastAsia="Georgia" w:hAnsi="Georgia" w:cs="Georgia"/>
          <w:color w:val="222222"/>
          <w:sz w:val="23"/>
          <w:szCs w:val="23"/>
        </w:rPr>
        <w:t xml:space="preserve"> is an individual who lives and works in Svalbard. The general partner runs the partnership.</w:t>
      </w:r>
    </w:p>
    <w:p w14:paraId="2168E846" w14:textId="77777777" w:rsidR="00023C51" w:rsidRDefault="00734DD7">
      <w:pPr>
        <w:pStyle w:val="ListParagraph"/>
        <w:numPr>
          <w:ilvl w:val="0"/>
          <w:numId w:val="2"/>
        </w:numPr>
        <w:spacing w:after="80" w:line="290" w:lineRule="auto"/>
      </w:pPr>
      <w:r>
        <w:rPr>
          <w:rFonts w:ascii="Georgia" w:eastAsia="Georgia" w:hAnsi="Georgia" w:cs="Georgia"/>
          <w:b/>
          <w:bCs/>
          <w:color w:val="222222"/>
          <w:sz w:val="23"/>
          <w:szCs w:val="23"/>
        </w:rPr>
        <w:t>The limited partner</w:t>
      </w:r>
      <w:r>
        <w:rPr>
          <w:rFonts w:ascii="Georgia" w:eastAsia="Georgia" w:hAnsi="Georgia" w:cs="Georgia"/>
          <w:color w:val="222222"/>
          <w:sz w:val="23"/>
          <w:szCs w:val="23"/>
        </w:rPr>
        <w:t xml:space="preserve"> is a Falkland Islands corporation.</w:t>
      </w:r>
    </w:p>
    <w:p w14:paraId="50A38199" w14:textId="77777777" w:rsidR="00023C51" w:rsidRDefault="00734DD7">
      <w:pPr>
        <w:spacing w:before="120" w:after="160" w:line="300" w:lineRule="auto"/>
      </w:pPr>
      <w:r>
        <w:rPr>
          <w:rFonts w:ascii="Georgia" w:eastAsia="Georgia" w:hAnsi="Georgia" w:cs="Georgia"/>
          <w:color w:val="222222"/>
          <w:sz w:val="23"/>
          <w:szCs w:val="23"/>
        </w:rPr>
        <w:t>The partnership does one thing. It holds the shares of an underlying investment company. It has no bank account. It takes no dividends, makes no distributions and makes no loans. The money sits in the underlying company's bank account. The Loonie Bear simply holds that company, for the account of others.</w:t>
      </w:r>
    </w:p>
    <w:p w14:paraId="2BAF9EF4" w14:textId="77777777" w:rsidR="00023C51" w:rsidRDefault="00734DD7">
      <w:pPr>
        <w:spacing w:before="320" w:after="120"/>
      </w:pPr>
      <w:r>
        <w:rPr>
          <w:rFonts w:ascii="Georgia" w:eastAsia="Georgia" w:hAnsi="Georgia" w:cs="Georgia"/>
          <w:b/>
          <w:bCs/>
          <w:color w:val="B22234"/>
          <w:sz w:val="28"/>
          <w:szCs w:val="28"/>
        </w:rPr>
        <w:t>Why Canada lets this work</w:t>
      </w:r>
    </w:p>
    <w:p w14:paraId="0B71BE5A" w14:textId="77777777" w:rsidR="00023C51" w:rsidRDefault="00734DD7">
      <w:pPr>
        <w:spacing w:after="160" w:line="300" w:lineRule="auto"/>
      </w:pPr>
      <w:r>
        <w:rPr>
          <w:rFonts w:ascii="Georgia" w:eastAsia="Georgia" w:hAnsi="Georgia" w:cs="Georgia"/>
          <w:color w:val="222222"/>
          <w:sz w:val="23"/>
          <w:szCs w:val="23"/>
        </w:rPr>
        <w:t>Canada does not require either partner to be Canadian-resident. A non-resident corporate general partner would need a provincial licence first. A non-resident individual general partner needs nothing: no licence, no registration, no residency test.</w:t>
      </w:r>
    </w:p>
    <w:p w14:paraId="25A02FA7" w14:textId="77777777" w:rsidR="00023C51" w:rsidRDefault="00734DD7">
      <w:pPr>
        <w:spacing w:after="160" w:line="300" w:lineRule="auto"/>
      </w:pPr>
      <w:r>
        <w:rPr>
          <w:rFonts w:ascii="Georgia" w:eastAsia="Georgia" w:hAnsi="Georgia" w:cs="Georgia"/>
          <w:color w:val="222222"/>
          <w:sz w:val="23"/>
          <w:szCs w:val="23"/>
        </w:rPr>
        <w:lastRenderedPageBreak/>
        <w:t>Forming the partnership in Ontario creates the legal vehicle and the usual registered-office upkeep. It does not, by itself, make the partnership Canadian-resident for CRS. It does not make it a “Canadian partnership” under the tax act either, because that requires every partner to be Canadian-resident. And it does not trigger an annual partnership return just because the vehicle was formed there. Canada supplies the vehicle and very little else.</w:t>
      </w:r>
    </w:p>
    <w:p w14:paraId="0D50F2E9" w14:textId="77777777" w:rsidR="00023C51" w:rsidRDefault="00734DD7">
      <w:pPr>
        <w:spacing w:before="320" w:after="120"/>
      </w:pPr>
      <w:r>
        <w:rPr>
          <w:rFonts w:ascii="Georgia" w:eastAsia="Georgia" w:hAnsi="Georgia" w:cs="Georgia"/>
          <w:b/>
          <w:bCs/>
          <w:color w:val="B22234"/>
          <w:sz w:val="28"/>
          <w:szCs w:val="28"/>
        </w:rPr>
        <w:t>Why it's a Financial Institution</w:t>
      </w:r>
    </w:p>
    <w:p w14:paraId="758394EE" w14:textId="77777777" w:rsidR="00023C51" w:rsidRDefault="00734DD7">
      <w:pPr>
        <w:spacing w:after="160" w:line="300" w:lineRule="auto"/>
      </w:pPr>
      <w:r>
        <w:rPr>
          <w:rFonts w:ascii="Georgia" w:eastAsia="Georgia" w:hAnsi="Georgia" w:cs="Georgia"/>
          <w:color w:val="222222"/>
          <w:sz w:val="23"/>
          <w:szCs w:val="23"/>
        </w:rPr>
        <w:t xml:space="preserve">Under CRS, a partnership counts as an “Entity” even though it has no separate legal personality. An Entity that holds financial assets for others as a substantial part of its business is a </w:t>
      </w:r>
      <w:r>
        <w:rPr>
          <w:rFonts w:ascii="Georgia" w:eastAsia="Georgia" w:hAnsi="Georgia" w:cs="Georgia"/>
          <w:b/>
          <w:bCs/>
          <w:color w:val="222222"/>
          <w:sz w:val="23"/>
          <w:szCs w:val="23"/>
        </w:rPr>
        <w:t>Custodial Institution</w:t>
      </w:r>
      <w:r>
        <w:rPr>
          <w:rFonts w:ascii="Georgia" w:eastAsia="Georgia" w:hAnsi="Georgia" w:cs="Georgia"/>
          <w:color w:val="222222"/>
          <w:sz w:val="23"/>
          <w:szCs w:val="23"/>
        </w:rPr>
        <w:t>. That's a Financial Institution.</w:t>
      </w:r>
    </w:p>
    <w:p w14:paraId="53F568D1" w14:textId="77777777" w:rsidR="00023C51" w:rsidRDefault="00734DD7">
      <w:pPr>
        <w:spacing w:after="160" w:line="300" w:lineRule="auto"/>
      </w:pPr>
      <w:r>
        <w:rPr>
          <w:rFonts w:ascii="Georgia" w:eastAsia="Georgia" w:hAnsi="Georgia" w:cs="Georgia"/>
          <w:color w:val="222222"/>
          <w:sz w:val="23"/>
          <w:szCs w:val="23"/>
        </w:rPr>
        <w:t>The test is factual. At least 20% of its income must come from holding assets and related services. That is evidenced by custody fees invoiced for the holding, not by anything written in the partnership agreement.</w:t>
      </w:r>
    </w:p>
    <w:p w14:paraId="08C30B98" w14:textId="77777777" w:rsidR="00023C51" w:rsidRDefault="00734DD7">
      <w:pPr>
        <w:spacing w:before="320" w:after="120"/>
      </w:pPr>
      <w:r>
        <w:rPr>
          <w:rFonts w:ascii="Georgia" w:eastAsia="Georgia" w:hAnsi="Georgia" w:cs="Georgia"/>
          <w:b/>
          <w:bCs/>
          <w:color w:val="B22234"/>
          <w:sz w:val="28"/>
          <w:szCs w:val="28"/>
        </w:rPr>
        <w:t>Why it reports nowhere</w:t>
      </w:r>
    </w:p>
    <w:p w14:paraId="3DA08EC0" w14:textId="77777777" w:rsidR="00023C51" w:rsidRDefault="00734DD7">
      <w:pPr>
        <w:spacing w:after="160" w:line="300" w:lineRule="auto"/>
      </w:pPr>
      <w:r>
        <w:rPr>
          <w:rFonts w:ascii="Georgia" w:eastAsia="Georgia" w:hAnsi="Georgia" w:cs="Georgia"/>
          <w:color w:val="222222"/>
          <w:sz w:val="23"/>
          <w:szCs w:val="23"/>
        </w:rPr>
        <w:t>A partnership with no tax residence of its own is treated as resident where it is actually managed. The Loonie Bear is managed in Svalbard.</w:t>
      </w:r>
    </w:p>
    <w:p w14:paraId="53912EFF" w14:textId="77777777" w:rsidR="00023C51" w:rsidRDefault="00734DD7">
      <w:pPr>
        <w:spacing w:after="160" w:line="300" w:lineRule="auto"/>
      </w:pPr>
      <w:r>
        <w:rPr>
          <w:rFonts w:ascii="Georgia" w:eastAsia="Georgia" w:hAnsi="Georgia" w:cs="Georgia"/>
          <w:color w:val="222222"/>
          <w:sz w:val="23"/>
          <w:szCs w:val="23"/>
        </w:rPr>
        <w:t>Svalbard is Norwegian, but Norway expressly excluded Svalbard when it signed the Multilateral Convention. So there is no CRS machinery there to report into.</w:t>
      </w:r>
    </w:p>
    <w:p w14:paraId="03C4BEE9" w14:textId="77777777" w:rsidR="00023C51" w:rsidRDefault="00734DD7">
      <w:pPr>
        <w:spacing w:after="160" w:line="300" w:lineRule="auto"/>
      </w:pPr>
      <w:r>
        <w:rPr>
          <w:rFonts w:ascii="Georgia" w:eastAsia="Georgia" w:hAnsi="Georgia" w:cs="Georgia"/>
          <w:color w:val="222222"/>
          <w:sz w:val="23"/>
          <w:szCs w:val="23"/>
        </w:rPr>
        <w:t>Put the pieces together:</w:t>
      </w:r>
    </w:p>
    <w:p w14:paraId="2DDCB50E" w14:textId="77777777" w:rsidR="00023C51" w:rsidRDefault="00734DD7">
      <w:pPr>
        <w:pStyle w:val="ListParagraph"/>
        <w:numPr>
          <w:ilvl w:val="0"/>
          <w:numId w:val="2"/>
        </w:numPr>
        <w:spacing w:after="80" w:line="290" w:lineRule="auto"/>
      </w:pPr>
      <w:r>
        <w:rPr>
          <w:rFonts w:ascii="Georgia" w:eastAsia="Georgia" w:hAnsi="Georgia" w:cs="Georgia"/>
          <w:color w:val="222222"/>
          <w:sz w:val="23"/>
          <w:szCs w:val="23"/>
        </w:rPr>
        <w:t>The underlying company's shareholder is a Financial Institution.</w:t>
      </w:r>
    </w:p>
    <w:p w14:paraId="071AADB6" w14:textId="77777777" w:rsidR="00023C51" w:rsidRDefault="00734DD7">
      <w:pPr>
        <w:pStyle w:val="ListParagraph"/>
        <w:numPr>
          <w:ilvl w:val="0"/>
          <w:numId w:val="2"/>
        </w:numPr>
        <w:spacing w:after="80" w:line="290" w:lineRule="auto"/>
      </w:pPr>
      <w:r>
        <w:rPr>
          <w:rFonts w:ascii="Georgia" w:eastAsia="Georgia" w:hAnsi="Georgia" w:cs="Georgia"/>
          <w:color w:val="222222"/>
          <w:sz w:val="23"/>
          <w:szCs w:val="23"/>
        </w:rPr>
        <w:t>A Financial Institution is not a reportable person, so the reporting chain stops there.</w:t>
      </w:r>
    </w:p>
    <w:p w14:paraId="2586C781" w14:textId="77777777" w:rsidR="00023C51" w:rsidRDefault="00734DD7">
      <w:pPr>
        <w:pStyle w:val="ListParagraph"/>
        <w:numPr>
          <w:ilvl w:val="0"/>
          <w:numId w:val="2"/>
        </w:numPr>
        <w:spacing w:after="80" w:line="290" w:lineRule="auto"/>
      </w:pPr>
      <w:r>
        <w:rPr>
          <w:rFonts w:ascii="Georgia" w:eastAsia="Georgia" w:hAnsi="Georgia" w:cs="Georgia"/>
          <w:color w:val="222222"/>
          <w:sz w:val="23"/>
          <w:szCs w:val="23"/>
        </w:rPr>
        <w:t>The place where it stops has no CRS to report into.</w:t>
      </w:r>
    </w:p>
    <w:p w14:paraId="3EA07608" w14:textId="77777777" w:rsidR="00023C51" w:rsidRDefault="00734DD7">
      <w:pPr>
        <w:spacing w:before="120" w:after="160" w:line="300" w:lineRule="auto"/>
      </w:pPr>
      <w:r>
        <w:rPr>
          <w:rFonts w:ascii="Georgia" w:eastAsia="Georgia" w:hAnsi="Georgia" w:cs="Georgia"/>
          <w:color w:val="222222"/>
          <w:sz w:val="23"/>
          <w:szCs w:val="23"/>
        </w:rPr>
        <w:t xml:space="preserve">Nothing is hidden. The bank still knows exactly who it's dealing with. What's absent is the </w:t>
      </w:r>
      <w:r>
        <w:rPr>
          <w:rFonts w:ascii="Georgia" w:eastAsia="Georgia" w:hAnsi="Georgia" w:cs="Georgia"/>
          <w:i/>
          <w:iCs/>
          <w:color w:val="222222"/>
          <w:sz w:val="23"/>
          <w:szCs w:val="23"/>
        </w:rPr>
        <w:t>automatic</w:t>
      </w:r>
      <w:r>
        <w:rPr>
          <w:rFonts w:ascii="Georgia" w:eastAsia="Georgia" w:hAnsi="Georgia" w:cs="Georgia"/>
          <w:color w:val="222222"/>
          <w:sz w:val="23"/>
          <w:szCs w:val="23"/>
        </w:rPr>
        <w:t xml:space="preserve"> exchange.</w:t>
      </w:r>
    </w:p>
    <w:p w14:paraId="2CDCE667" w14:textId="77777777" w:rsidR="00023C51" w:rsidRDefault="00734DD7">
      <w:pPr>
        <w:spacing w:before="320" w:after="120"/>
      </w:pPr>
      <w:r>
        <w:rPr>
          <w:rFonts w:ascii="Georgia" w:eastAsia="Georgia" w:hAnsi="Georgia" w:cs="Georgia"/>
          <w:b/>
          <w:bCs/>
          <w:color w:val="B22234"/>
          <w:sz w:val="28"/>
          <w:szCs w:val="28"/>
        </w:rPr>
        <w:t>Why a partnership and not a trust</w:t>
      </w:r>
    </w:p>
    <w:p w14:paraId="317FBA90" w14:textId="77777777" w:rsidR="00023C51" w:rsidRDefault="00734DD7">
      <w:pPr>
        <w:spacing w:after="160" w:line="300" w:lineRule="auto"/>
      </w:pPr>
      <w:r>
        <w:rPr>
          <w:rFonts w:ascii="Georgia" w:eastAsia="Georgia" w:hAnsi="Georgia" w:cs="Georgia"/>
          <w:color w:val="222222"/>
          <w:sz w:val="23"/>
          <w:szCs w:val="23"/>
        </w:rPr>
        <w:t>Some clients, Chinese clients in particular, now face home-country rules aimed squarely at offshore trusts. A partnership is a different legal animal. The first Loonie Bear client is moving out of a Dutch foundation for exactly that reason.</w:t>
      </w:r>
    </w:p>
    <w:p w14:paraId="0C24E22F" w14:textId="77777777" w:rsidR="00023C51" w:rsidRDefault="00734DD7">
      <w:pPr>
        <w:spacing w:before="320" w:after="120"/>
      </w:pPr>
      <w:r>
        <w:rPr>
          <w:rFonts w:ascii="Georgia" w:eastAsia="Georgia" w:hAnsi="Georgia" w:cs="Georgia"/>
          <w:b/>
          <w:bCs/>
          <w:color w:val="B22234"/>
          <w:sz w:val="28"/>
          <w:szCs w:val="28"/>
        </w:rPr>
        <w:t>What must be real</w:t>
      </w:r>
    </w:p>
    <w:p w14:paraId="7E05DD91" w14:textId="77777777" w:rsidR="00023C51" w:rsidRDefault="00734DD7">
      <w:pPr>
        <w:spacing w:after="160" w:line="300" w:lineRule="auto"/>
      </w:pPr>
      <w:r>
        <w:rPr>
          <w:rFonts w:ascii="Georgia" w:eastAsia="Georgia" w:hAnsi="Georgia" w:cs="Georgia"/>
          <w:color w:val="222222"/>
          <w:sz w:val="23"/>
          <w:szCs w:val="23"/>
        </w:rPr>
        <w:t>None of this works on paper alone. Two facts carry the whole structure:</w:t>
      </w:r>
    </w:p>
    <w:p w14:paraId="4212023B" w14:textId="77777777" w:rsidR="00023C51" w:rsidRDefault="00734DD7">
      <w:pPr>
        <w:pStyle w:val="ListParagraph"/>
        <w:numPr>
          <w:ilvl w:val="0"/>
          <w:numId w:val="2"/>
        </w:numPr>
        <w:spacing w:after="80" w:line="290" w:lineRule="auto"/>
      </w:pPr>
      <w:r>
        <w:rPr>
          <w:rFonts w:ascii="Georgia" w:eastAsia="Georgia" w:hAnsi="Georgia" w:cs="Georgia"/>
          <w:b/>
          <w:bCs/>
          <w:color w:val="222222"/>
          <w:sz w:val="23"/>
          <w:szCs w:val="23"/>
        </w:rPr>
        <w:t>Genuine custody.</w:t>
      </w:r>
      <w:r>
        <w:rPr>
          <w:rFonts w:ascii="Georgia" w:eastAsia="Georgia" w:hAnsi="Georgia" w:cs="Georgia"/>
          <w:color w:val="222222"/>
          <w:sz w:val="23"/>
          <w:szCs w:val="23"/>
        </w:rPr>
        <w:t xml:space="preserve"> The custody function and the fee income behind it must actually exist.</w:t>
      </w:r>
    </w:p>
    <w:p w14:paraId="47EC6354" w14:textId="77777777" w:rsidR="00023C51" w:rsidRDefault="00734DD7">
      <w:pPr>
        <w:pStyle w:val="ListParagraph"/>
        <w:numPr>
          <w:ilvl w:val="0"/>
          <w:numId w:val="2"/>
        </w:numPr>
        <w:spacing w:after="80" w:line="290" w:lineRule="auto"/>
      </w:pPr>
      <w:r>
        <w:rPr>
          <w:rFonts w:ascii="Georgia" w:eastAsia="Georgia" w:hAnsi="Georgia" w:cs="Georgia"/>
          <w:b/>
          <w:bCs/>
          <w:color w:val="222222"/>
          <w:sz w:val="23"/>
          <w:szCs w:val="23"/>
        </w:rPr>
        <w:t>Genuine Svalbard management.</w:t>
      </w:r>
      <w:r>
        <w:rPr>
          <w:rFonts w:ascii="Georgia" w:eastAsia="Georgia" w:hAnsi="Georgia" w:cs="Georgia"/>
          <w:color w:val="222222"/>
          <w:sz w:val="23"/>
          <w:szCs w:val="23"/>
        </w:rPr>
        <w:t xml:space="preserve"> Decisions must be made in Svalbard, and you must be able to prove it.</w:t>
      </w:r>
    </w:p>
    <w:p w14:paraId="52AB7BCF" w14:textId="77777777" w:rsidR="00023C51" w:rsidRDefault="00734DD7">
      <w:pPr>
        <w:spacing w:before="120" w:after="160" w:line="300" w:lineRule="auto"/>
      </w:pPr>
      <w:r>
        <w:rPr>
          <w:rFonts w:ascii="Georgia" w:eastAsia="Georgia" w:hAnsi="Georgia" w:cs="Georgia"/>
          <w:color w:val="222222"/>
          <w:sz w:val="23"/>
          <w:szCs w:val="23"/>
        </w:rPr>
        <w:t>This is why the Loonie Bear can't be copied from a template. The management has to be operationally real.</w:t>
      </w:r>
    </w:p>
    <w:p w14:paraId="17B99C6D" w14:textId="77777777" w:rsidR="00023C51" w:rsidRDefault="00734DD7">
      <w:pPr>
        <w:spacing w:before="320" w:after="120"/>
      </w:pPr>
      <w:r>
        <w:rPr>
          <w:rFonts w:ascii="Georgia" w:eastAsia="Georgia" w:hAnsi="Georgia" w:cs="Georgia"/>
          <w:b/>
          <w:bCs/>
          <w:color w:val="B22234"/>
          <w:sz w:val="28"/>
          <w:szCs w:val="28"/>
        </w:rPr>
        <w:lastRenderedPageBreak/>
        <w:t>The fallback</w:t>
      </w:r>
    </w:p>
    <w:p w14:paraId="46B2CE79" w14:textId="77777777" w:rsidR="00023C51" w:rsidRDefault="00734DD7">
      <w:pPr>
        <w:spacing w:after="160" w:line="300" w:lineRule="auto"/>
      </w:pPr>
      <w:r>
        <w:rPr>
          <w:rFonts w:ascii="Georgia" w:eastAsia="Georgia" w:hAnsi="Georgia" w:cs="Georgia"/>
          <w:color w:val="222222"/>
          <w:sz w:val="23"/>
          <w:szCs w:val="23"/>
        </w:rPr>
        <w:t>If Canada ever changes its residence rules, the underlying company can move under an existing Polar Bear trust. The same person in Svalbard acts for both.</w:t>
      </w:r>
    </w:p>
    <w:p w14:paraId="54A7DFBB" w14:textId="77777777" w:rsidR="00023C51" w:rsidRDefault="00734DD7">
      <w:pPr>
        <w:spacing w:before="320" w:after="120"/>
      </w:pPr>
      <w:r>
        <w:rPr>
          <w:rFonts w:ascii="Georgia" w:eastAsia="Georgia" w:hAnsi="Georgia" w:cs="Georgia"/>
          <w:b/>
          <w:bCs/>
          <w:color w:val="B22234"/>
          <w:sz w:val="28"/>
          <w:szCs w:val="28"/>
        </w:rPr>
        <w:t>The point</w:t>
      </w:r>
    </w:p>
    <w:p w14:paraId="473EF8BA" w14:textId="77777777" w:rsidR="00023C51" w:rsidRDefault="00734DD7">
      <w:pPr>
        <w:spacing w:after="160" w:line="300" w:lineRule="auto"/>
      </w:pPr>
      <w:r>
        <w:rPr>
          <w:rFonts w:ascii="Georgia" w:eastAsia="Georgia" w:hAnsi="Georgia" w:cs="Georgia"/>
          <w:color w:val="222222"/>
          <w:sz w:val="23"/>
          <w:szCs w:val="23"/>
        </w:rPr>
        <w:t>The interesting claim was never that offshore structures can be respectable. It's that a vehicle formed somewhere as mainstream as Ontario can land outside CRS reporting. That happens not despite the rules, but because of them.</w:t>
      </w:r>
    </w:p>
    <w:p w14:paraId="55D8D1B5" w14:textId="77777777" w:rsidR="00023C51" w:rsidRDefault="00734DD7">
      <w:pPr>
        <w:pBdr>
          <w:top w:val="single" w:sz="4" w:space="8" w:color="666666"/>
        </w:pBdr>
        <w:spacing w:before="360" w:after="120"/>
      </w:pPr>
      <w:r>
        <w:rPr>
          <w:rFonts w:ascii="Georgia" w:eastAsia="Georgia" w:hAnsi="Georgia" w:cs="Georgia"/>
          <w:i/>
          <w:iCs/>
          <w:color w:val="666666"/>
        </w:rPr>
        <w:t>I'm not a lawyer, and this is not legal or tax advice. Each client's position depends on its own facts.</w:t>
      </w:r>
    </w:p>
    <w:p w14:paraId="79F1FA4C" w14:textId="77777777" w:rsidR="00023C51" w:rsidRDefault="00734DD7">
      <w:r>
        <w:rPr>
          <w:rFonts w:ascii="Georgia" w:eastAsia="Georgia" w:hAnsi="Georgia" w:cs="Georgia"/>
          <w:b/>
          <w:bCs/>
          <w:color w:val="1F2A44"/>
          <w:sz w:val="22"/>
          <w:szCs w:val="22"/>
        </w:rPr>
        <w:t>Mark Morris</w:t>
      </w:r>
      <w:r>
        <w:rPr>
          <w:rFonts w:ascii="Georgia" w:eastAsia="Georgia" w:hAnsi="Georgia" w:cs="Georgia"/>
          <w:color w:val="1F2A44"/>
          <w:sz w:val="22"/>
          <w:szCs w:val="22"/>
        </w:rPr>
        <w:t>, architect of the Polar Bear, Lionheart and Arctic Kiwi trusts</w:t>
      </w:r>
    </w:p>
    <w:p w14:paraId="531C24E1" w14:textId="77777777" w:rsidR="00023C51" w:rsidRDefault="00734DD7">
      <w:r>
        <w:rPr>
          <w:rFonts w:ascii="Georgia" w:eastAsia="Georgia" w:hAnsi="Georgia" w:cs="Georgia"/>
          <w:color w:val="666666"/>
        </w:rPr>
        <w:t>www.co-ownershiptrust.com</w:t>
      </w:r>
    </w:p>
    <w:sectPr w:rsidR="00023C51">
      <w:footerReference w:type="default" r:id="rId8"/>
      <w:pgSz w:w="11906" w:h="16838"/>
      <w:pgMar w:top="1134"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B6CB7" w14:textId="77777777" w:rsidR="006F4BB2" w:rsidRDefault="006F4BB2">
      <w:r>
        <w:separator/>
      </w:r>
    </w:p>
  </w:endnote>
  <w:endnote w:type="continuationSeparator" w:id="0">
    <w:p w14:paraId="33AA7CF2" w14:textId="77777777" w:rsidR="006F4BB2" w:rsidRDefault="006F4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C6D3A" w14:textId="5ACE6277" w:rsidR="00023C51" w:rsidRDefault="00734DD7">
    <w:pPr>
      <w:jc w:val="center"/>
    </w:pPr>
    <w:r>
      <w:rPr>
        <w:rFonts w:ascii="Georgia" w:eastAsia="Georgia" w:hAnsi="Georgia" w:cs="Georgia"/>
        <w:color w:val="666666"/>
        <w:sz w:val="18"/>
        <w:szCs w:val="18"/>
      </w:rPr>
      <w:fldChar w:fldCharType="begin"/>
    </w:r>
    <w:r>
      <w:rPr>
        <w:rFonts w:ascii="Georgia" w:eastAsia="Georgia" w:hAnsi="Georgia" w:cs="Georgia"/>
        <w:color w:val="666666"/>
        <w:sz w:val="18"/>
        <w:szCs w:val="18"/>
      </w:rPr>
      <w:instrText>PAGE</w:instrText>
    </w:r>
    <w:r>
      <w:rPr>
        <w:rFonts w:ascii="Georgia" w:eastAsia="Georgia" w:hAnsi="Georgia" w:cs="Georgia"/>
        <w:color w:val="666666"/>
        <w:sz w:val="18"/>
        <w:szCs w:val="18"/>
      </w:rPr>
      <w:fldChar w:fldCharType="separate"/>
    </w:r>
    <w:r w:rsidR="00EE2645">
      <w:rPr>
        <w:rFonts w:ascii="Georgia" w:eastAsia="Georgia" w:hAnsi="Georgia" w:cs="Georgia"/>
        <w:noProof/>
        <w:color w:val="666666"/>
        <w:sz w:val="18"/>
        <w:szCs w:val="18"/>
      </w:rPr>
      <w:t>1</w:t>
    </w:r>
    <w:r>
      <w:rPr>
        <w:rFonts w:ascii="Georgia" w:eastAsia="Georgia" w:hAnsi="Georgia" w:cs="Georgia"/>
        <w:color w:val="66666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30A67" w14:textId="77777777" w:rsidR="006F4BB2" w:rsidRDefault="006F4BB2">
      <w:r>
        <w:separator/>
      </w:r>
    </w:p>
  </w:footnote>
  <w:footnote w:type="continuationSeparator" w:id="0">
    <w:p w14:paraId="6A47220A" w14:textId="77777777" w:rsidR="006F4BB2" w:rsidRDefault="006F4B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F5B73"/>
    <w:multiLevelType w:val="hybridMultilevel"/>
    <w:tmpl w:val="FFFFFFFF"/>
    <w:lvl w:ilvl="0" w:tplc="0C22F988">
      <w:start w:val="1"/>
      <w:numFmt w:val="bullet"/>
      <w:lvlText w:val="•"/>
      <w:lvlJc w:val="left"/>
      <w:pPr>
        <w:ind w:left="720" w:hanging="360"/>
      </w:pPr>
    </w:lvl>
    <w:lvl w:ilvl="1" w:tplc="A1AE1B46">
      <w:numFmt w:val="decimal"/>
      <w:lvlText w:val=""/>
      <w:lvlJc w:val="left"/>
    </w:lvl>
    <w:lvl w:ilvl="2" w:tplc="D2DE3FFE">
      <w:numFmt w:val="decimal"/>
      <w:lvlText w:val=""/>
      <w:lvlJc w:val="left"/>
    </w:lvl>
    <w:lvl w:ilvl="3" w:tplc="7A5A4ED6">
      <w:numFmt w:val="decimal"/>
      <w:lvlText w:val=""/>
      <w:lvlJc w:val="left"/>
    </w:lvl>
    <w:lvl w:ilvl="4" w:tplc="BB0E9A18">
      <w:numFmt w:val="decimal"/>
      <w:lvlText w:val=""/>
      <w:lvlJc w:val="left"/>
    </w:lvl>
    <w:lvl w:ilvl="5" w:tplc="1AE04AFA">
      <w:numFmt w:val="decimal"/>
      <w:lvlText w:val=""/>
      <w:lvlJc w:val="left"/>
    </w:lvl>
    <w:lvl w:ilvl="6" w:tplc="B8D0A834">
      <w:numFmt w:val="decimal"/>
      <w:lvlText w:val=""/>
      <w:lvlJc w:val="left"/>
    </w:lvl>
    <w:lvl w:ilvl="7" w:tplc="52F85788">
      <w:numFmt w:val="decimal"/>
      <w:lvlText w:val=""/>
      <w:lvlJc w:val="left"/>
    </w:lvl>
    <w:lvl w:ilvl="8" w:tplc="5A447A0C">
      <w:numFmt w:val="decimal"/>
      <w:lvlText w:val=""/>
      <w:lvlJc w:val="left"/>
    </w:lvl>
  </w:abstractNum>
  <w:abstractNum w:abstractNumId="1" w15:restartNumberingAfterBreak="0">
    <w:nsid w:val="3A4522F2"/>
    <w:multiLevelType w:val="hybridMultilevel"/>
    <w:tmpl w:val="FFFFFFFF"/>
    <w:lvl w:ilvl="0" w:tplc="89285C3C">
      <w:start w:val="1"/>
      <w:numFmt w:val="bullet"/>
      <w:lvlText w:val="●"/>
      <w:lvlJc w:val="left"/>
      <w:pPr>
        <w:ind w:left="720" w:hanging="360"/>
      </w:pPr>
    </w:lvl>
    <w:lvl w:ilvl="1" w:tplc="BD7AA6CE">
      <w:start w:val="1"/>
      <w:numFmt w:val="bullet"/>
      <w:lvlText w:val="○"/>
      <w:lvlJc w:val="left"/>
      <w:pPr>
        <w:ind w:left="1440" w:hanging="360"/>
      </w:pPr>
    </w:lvl>
    <w:lvl w:ilvl="2" w:tplc="C3228CA6">
      <w:start w:val="1"/>
      <w:numFmt w:val="bullet"/>
      <w:lvlText w:val="■"/>
      <w:lvlJc w:val="left"/>
      <w:pPr>
        <w:ind w:left="2160" w:hanging="360"/>
      </w:pPr>
    </w:lvl>
    <w:lvl w:ilvl="3" w:tplc="3E0CE784">
      <w:start w:val="1"/>
      <w:numFmt w:val="bullet"/>
      <w:lvlText w:val="●"/>
      <w:lvlJc w:val="left"/>
      <w:pPr>
        <w:ind w:left="2880" w:hanging="360"/>
      </w:pPr>
    </w:lvl>
    <w:lvl w:ilvl="4" w:tplc="36C2078E">
      <w:start w:val="1"/>
      <w:numFmt w:val="bullet"/>
      <w:lvlText w:val="○"/>
      <w:lvlJc w:val="left"/>
      <w:pPr>
        <w:ind w:left="3600" w:hanging="360"/>
      </w:pPr>
    </w:lvl>
    <w:lvl w:ilvl="5" w:tplc="2EC82468">
      <w:start w:val="1"/>
      <w:numFmt w:val="bullet"/>
      <w:lvlText w:val="■"/>
      <w:lvlJc w:val="left"/>
      <w:pPr>
        <w:ind w:left="4320" w:hanging="360"/>
      </w:pPr>
    </w:lvl>
    <w:lvl w:ilvl="6" w:tplc="FAF2C478">
      <w:start w:val="1"/>
      <w:numFmt w:val="bullet"/>
      <w:lvlText w:val="●"/>
      <w:lvlJc w:val="left"/>
      <w:pPr>
        <w:ind w:left="5040" w:hanging="360"/>
      </w:pPr>
    </w:lvl>
    <w:lvl w:ilvl="7" w:tplc="AD10F090">
      <w:start w:val="1"/>
      <w:numFmt w:val="bullet"/>
      <w:lvlText w:val="●"/>
      <w:lvlJc w:val="left"/>
      <w:pPr>
        <w:ind w:left="5760" w:hanging="360"/>
      </w:pPr>
    </w:lvl>
    <w:lvl w:ilvl="8" w:tplc="630E9732">
      <w:start w:val="1"/>
      <w:numFmt w:val="bullet"/>
      <w:lvlText w:val="●"/>
      <w:lvlJc w:val="left"/>
      <w:pPr>
        <w:ind w:left="6480" w:hanging="360"/>
      </w:pPr>
    </w:lvl>
  </w:abstractNum>
  <w:num w:numId="1" w16cid:durableId="1043747286">
    <w:abstractNumId w:val="1"/>
    <w:lvlOverride w:ilvl="0">
      <w:startOverride w:val="1"/>
    </w:lvlOverride>
  </w:num>
  <w:num w:numId="2" w16cid:durableId="14918718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C51"/>
    <w:rsid w:val="00023C51"/>
    <w:rsid w:val="006F4BB2"/>
    <w:rsid w:val="00734DD7"/>
    <w:rsid w:val="00937A6A"/>
    <w:rsid w:val="00BE0CB9"/>
    <w:rsid w:val="00EE26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3F82C"/>
  <w15:docId w15:val="{6342DAD1-4F72-F54F-9B1C-F96FAE18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551</Words>
  <Characters>3475</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Mark Morris</cp:lastModifiedBy>
  <cp:revision>2</cp:revision>
  <dcterms:created xsi:type="dcterms:W3CDTF">2026-10-14T05:08:00Z</dcterms:created>
  <dcterms:modified xsi:type="dcterms:W3CDTF">2026-10-14T05:08:00Z</dcterms:modified>
</cp:coreProperties>
</file>