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1A435" w14:textId="77777777" w:rsidR="00B64C4A" w:rsidRDefault="00937F29">
      <w:pPr>
        <w:pStyle w:val="Title"/>
        <w:spacing w:after="120"/>
      </w:pPr>
      <w:r>
        <w:t>Capacity Is Not Exposure.</w:t>
      </w:r>
    </w:p>
    <w:p w14:paraId="7EA5610A" w14:textId="77777777" w:rsidR="00B64C4A" w:rsidRDefault="00937F29">
      <w:pPr>
        <w:spacing w:after="160" w:line="300" w:lineRule="auto"/>
      </w:pPr>
      <w:r>
        <w:rPr>
          <w:i/>
          <w:iCs/>
        </w:rPr>
        <w:t>Ontario lets a trust be a general partner. Nobody has asked what that does to the trust fund.</w:t>
      </w:r>
    </w:p>
    <w:p w14:paraId="2988AA08" w14:textId="77777777" w:rsidR="00B64C4A" w:rsidRDefault="00937F29">
      <w:pPr>
        <w:pStyle w:val="Heading2"/>
        <w:spacing w:before="280" w:after="120"/>
      </w:pPr>
      <w:r>
        <w:t>The doorway nobody uses</w:t>
      </w:r>
    </w:p>
    <w:p w14:paraId="7AEFAFDF" w14:textId="77777777" w:rsidR="00B64C4A" w:rsidRDefault="00937F29">
      <w:pPr>
        <w:spacing w:after="160" w:line="300" w:lineRule="auto"/>
      </w:pPr>
      <w:r>
        <w:t>Ask anyone who structures Ontario limited partnerships who the general partner is, and the answer is almost always a corporation, usually one with no assets. That is not a legal requirement. It is a convention, and a sensible one: a general partner carries unlimited liability, so you put an empty company in the seat and keep anything valuable well away from it.</w:t>
      </w:r>
    </w:p>
    <w:p w14:paraId="583AFC57" w14:textId="77777777" w:rsidR="00B64C4A" w:rsidRDefault="00937F29">
      <w:pPr>
        <w:spacing w:after="160" w:line="300" w:lineRule="auto"/>
      </w:pPr>
      <w:r>
        <w:t>But Ontario’s Limited Partnerships Act does not require a corporation. Section 1 defines "person" to include a trust, and lists separately a natural person acting as trustee. Section 2(2) says general partners are persons. Read together, a trust itself can occupy the general partner’s seat.</w:t>
      </w:r>
    </w:p>
    <w:p w14:paraId="69EF78E2" w14:textId="77777777" w:rsidR="00B64C4A" w:rsidRDefault="00937F29">
      <w:pPr>
        <w:spacing w:after="160" w:line="300" w:lineRule="auto"/>
      </w:pPr>
      <w:r>
        <w:t>So an SBA trust, a Lionheart, can in principle be the general partner of an Ontario LP, a Loonie Bear, directly, with no Canadian company in between.</w:t>
      </w:r>
    </w:p>
    <w:p w14:paraId="22FD69CB" w14:textId="77777777" w:rsidR="00B64C4A" w:rsidRDefault="00937F29">
      <w:pPr>
        <w:pStyle w:val="Heading2"/>
        <w:spacing w:before="280" w:after="120"/>
      </w:pPr>
      <w:r>
        <w:t>Why that matters</w:t>
      </w:r>
    </w:p>
    <w:p w14:paraId="6ED0559A" w14:textId="77777777" w:rsidR="00B64C4A" w:rsidRDefault="00937F29">
      <w:pPr>
        <w:spacing w:after="160" w:line="300" w:lineRule="auto"/>
      </w:pPr>
      <w:r>
        <w:t>The conventional corporate GP is not a free lunch. Every extra entity has its own residence, registration, ownership and control questions, and its own CRS classification to get right. Remove the corporate layer and you remove a set of problems along with it.</w:t>
      </w:r>
    </w:p>
    <w:p w14:paraId="4970F260" w14:textId="77777777" w:rsidR="00B64C4A" w:rsidRDefault="00937F29">
      <w:pPr>
        <w:spacing w:after="160" w:line="300" w:lineRule="auto"/>
      </w:pPr>
      <w:r>
        <w:t>That is the attraction. Now for the question that matters.</w:t>
      </w:r>
    </w:p>
    <w:p w14:paraId="0D0F2944" w14:textId="77777777" w:rsidR="00B64C4A" w:rsidRDefault="00937F29">
      <w:pPr>
        <w:pStyle w:val="Heading2"/>
        <w:spacing w:before="280" w:after="120"/>
      </w:pPr>
      <w:r>
        <w:t>Capacity is not exposure</w:t>
      </w:r>
    </w:p>
    <w:p w14:paraId="19AEC7C2" w14:textId="77777777" w:rsidR="00B64C4A" w:rsidRDefault="00937F29">
      <w:pPr>
        <w:spacing w:after="160" w:line="300" w:lineRule="auto"/>
      </w:pPr>
      <w:r>
        <w:t>Showing that Ontario lets a trust be a general partner settles capacity. It says nothing about what happens to the trust fund when the partnership has a debt it cannot pay.</w:t>
      </w:r>
    </w:p>
    <w:p w14:paraId="61321DD7" w14:textId="77777777" w:rsidR="00B64C4A" w:rsidRDefault="00937F29">
      <w:pPr>
        <w:spacing w:after="160" w:line="300" w:lineRule="auto"/>
      </w:pPr>
      <w:r>
        <w:t>The easy assumption runs: unlimited-liability general partner, therefore the trust assets are exposed. That assumption skips most of the interesting law.</w:t>
      </w:r>
    </w:p>
    <w:p w14:paraId="5AAF9C11" w14:textId="77777777" w:rsidR="00B64C4A" w:rsidRDefault="00937F29">
      <w:pPr>
        <w:spacing w:after="160" w:line="300" w:lineRule="auto"/>
      </w:pPr>
      <w:r>
        <w:t>A trust is not normally a pot of money that incurs debts in its own right. Liabilities connected with a trust are usually incurred by the trustee. A creditor reaches the trust fund, if at all, by stepping into the trustee’s shoes and using the trustee’s right to be reimbursed from the fund. The Privy Council has confirmed that a creditor who does that gets no better right than the trustee had (</w:t>
      </w:r>
      <w:r>
        <w:rPr>
          <w:i/>
          <w:iCs/>
        </w:rPr>
        <w:t xml:space="preserve">Investec Trust (Guernsey) Ltd v </w:t>
      </w:r>
      <w:proofErr w:type="spellStart"/>
      <w:r>
        <w:rPr>
          <w:i/>
          <w:iCs/>
        </w:rPr>
        <w:t>Glenalla</w:t>
      </w:r>
      <w:proofErr w:type="spellEnd"/>
      <w:r>
        <w:rPr>
          <w:i/>
          <w:iCs/>
        </w:rPr>
        <w:t xml:space="preserve"> Properties Ltd</w:t>
      </w:r>
      <w:r>
        <w:t xml:space="preserve"> [2018] UKPC 7).</w:t>
      </w:r>
    </w:p>
    <w:p w14:paraId="1E0325A6" w14:textId="77777777" w:rsidR="00B64C4A" w:rsidRDefault="00937F29">
      <w:pPr>
        <w:pStyle w:val="Heading2"/>
        <w:spacing w:before="280" w:after="120"/>
      </w:pPr>
      <w:r>
        <w:t>The creditor’s route</w:t>
      </w:r>
    </w:p>
    <w:p w14:paraId="79C8133D" w14:textId="77777777" w:rsidR="00B64C4A" w:rsidRDefault="00937F29">
      <w:pPr>
        <w:spacing w:after="80"/>
      </w:pPr>
      <w:r>
        <w:t>Follow a Loonie Bear creditor trying to reach a Lionheart asset. Every step needs legal authority:</w:t>
      </w:r>
    </w:p>
    <w:p w14:paraId="0B97055F" w14:textId="77777777" w:rsidR="00B64C4A" w:rsidRDefault="00937F29">
      <w:pPr>
        <w:pStyle w:val="ListParagraph"/>
        <w:numPr>
          <w:ilvl w:val="0"/>
          <w:numId w:val="2"/>
        </w:numPr>
        <w:spacing w:after="100" w:line="300" w:lineRule="auto"/>
      </w:pPr>
      <w:r>
        <w:t>Loonie Bear incurs a debt it cannot pay.</w:t>
      </w:r>
    </w:p>
    <w:p w14:paraId="3BB5CAE1" w14:textId="77777777" w:rsidR="00B64C4A" w:rsidRDefault="00937F29">
      <w:pPr>
        <w:pStyle w:val="ListParagraph"/>
        <w:numPr>
          <w:ilvl w:val="0"/>
          <w:numId w:val="2"/>
        </w:numPr>
        <w:spacing w:after="100" w:line="300" w:lineRule="auto"/>
      </w:pPr>
      <w:r>
        <w:t>Lionheart, as general partner, carries liability for it under Ontario law.</w:t>
      </w:r>
    </w:p>
    <w:p w14:paraId="4834EA83" w14:textId="77777777" w:rsidR="00B64C4A" w:rsidRDefault="00937F29">
      <w:pPr>
        <w:pStyle w:val="ListParagraph"/>
        <w:numPr>
          <w:ilvl w:val="0"/>
          <w:numId w:val="2"/>
        </w:numPr>
        <w:spacing w:after="100" w:line="300" w:lineRule="auto"/>
      </w:pPr>
      <w:r>
        <w:t>The creditor enforces that liability against the trustee.</w:t>
      </w:r>
    </w:p>
    <w:p w14:paraId="31157616" w14:textId="77777777" w:rsidR="00B64C4A" w:rsidRDefault="00937F29">
      <w:pPr>
        <w:pStyle w:val="ListParagraph"/>
        <w:numPr>
          <w:ilvl w:val="0"/>
          <w:numId w:val="2"/>
        </w:numPr>
        <w:spacing w:after="100" w:line="300" w:lineRule="auto"/>
      </w:pPr>
      <w:r>
        <w:lastRenderedPageBreak/>
        <w:t>The creditor claims the right to step into the trustee’s indemnity against the trust fund.</w:t>
      </w:r>
    </w:p>
    <w:p w14:paraId="1F60034F" w14:textId="77777777" w:rsidR="00B64C4A" w:rsidRDefault="00937F29">
      <w:pPr>
        <w:pStyle w:val="ListParagraph"/>
        <w:numPr>
          <w:ilvl w:val="0"/>
          <w:numId w:val="2"/>
        </w:numPr>
        <w:spacing w:after="100" w:line="300" w:lineRule="auto"/>
      </w:pPr>
      <w:r>
        <w:t>That indemnity must exist, and must be wide enough to cover liabilities from the general partner role, under the trust’s own law (SBA Cap. 193) and its deed.</w:t>
      </w:r>
    </w:p>
    <w:p w14:paraId="416BB4F5" w14:textId="77777777" w:rsidR="00B64C4A" w:rsidRDefault="00937F29">
      <w:pPr>
        <w:pStyle w:val="ListParagraph"/>
        <w:numPr>
          <w:ilvl w:val="0"/>
          <w:numId w:val="2"/>
        </w:numPr>
        <w:spacing w:after="100" w:line="300" w:lineRule="auto"/>
      </w:pPr>
      <w:r>
        <w:t>Only then does the creditor reach the Lionheart fund.</w:t>
      </w:r>
    </w:p>
    <w:p w14:paraId="5C09EAE0" w14:textId="77777777" w:rsidR="00B64C4A" w:rsidRDefault="00937F29">
      <w:pPr>
        <w:pStyle w:val="Heading2"/>
        <w:spacing w:before="280" w:after="120"/>
      </w:pPr>
      <w:r>
        <w:t>Two gates</w:t>
      </w:r>
    </w:p>
    <w:p w14:paraId="03848558" w14:textId="77777777" w:rsidR="00B64C4A" w:rsidRDefault="00937F29">
      <w:pPr>
        <w:spacing w:after="80"/>
      </w:pPr>
      <w:r>
        <w:t>The route splits into two separate legal questions, governed by two separate legal systems.</w:t>
      </w:r>
    </w:p>
    <w:p w14:paraId="0DFC3F03" w14:textId="77777777" w:rsidR="00B64C4A" w:rsidRDefault="00937F29">
      <w:pPr>
        <w:pStyle w:val="ListParagraph"/>
        <w:numPr>
          <w:ilvl w:val="0"/>
          <w:numId w:val="2"/>
        </w:numPr>
        <w:spacing w:after="100" w:line="300" w:lineRule="auto"/>
      </w:pPr>
      <w:r>
        <w:rPr>
          <w:b/>
          <w:bCs/>
        </w:rPr>
        <w:t xml:space="preserve">Gate A, Ontario: </w:t>
      </w:r>
      <w:r>
        <w:t>Will Ontario law let an LP creditor step into the indemnity of a trustee of a foreign trust?</w:t>
      </w:r>
    </w:p>
    <w:p w14:paraId="210A18DA" w14:textId="77777777" w:rsidR="00B64C4A" w:rsidRDefault="00937F29">
      <w:pPr>
        <w:pStyle w:val="ListParagraph"/>
        <w:numPr>
          <w:ilvl w:val="0"/>
          <w:numId w:val="2"/>
        </w:numPr>
        <w:spacing w:after="100" w:line="300" w:lineRule="auto"/>
      </w:pPr>
      <w:r>
        <w:rPr>
          <w:b/>
          <w:bCs/>
        </w:rPr>
        <w:t xml:space="preserve">Gate B, the SBAs: </w:t>
      </w:r>
      <w:r>
        <w:t>What right of indemnity does Cap. 193 give the trustee? Is that right fixed by law, a default the deed can change, or something that exists only because the deed grants it?</w:t>
      </w:r>
    </w:p>
    <w:p w14:paraId="1B6836F8" w14:textId="77777777" w:rsidR="00B64C4A" w:rsidRDefault="00937F29">
      <w:pPr>
        <w:spacing w:before="120" w:after="160" w:line="300" w:lineRule="auto"/>
      </w:pPr>
      <w:r>
        <w:t>Here is the asymmetry. The creditor needs both gates open. The trust needs only one of them shut.</w:t>
      </w:r>
    </w:p>
    <w:p w14:paraId="08117E6C" w14:textId="77777777" w:rsidR="00B64C4A" w:rsidRDefault="00937F29">
      <w:pPr>
        <w:pStyle w:val="Heading2"/>
        <w:spacing w:before="280" w:after="120"/>
      </w:pPr>
      <w:r>
        <w:t>Why Gate B is the interesting one</w:t>
      </w:r>
    </w:p>
    <w:p w14:paraId="222B9CCC" w14:textId="77777777" w:rsidR="00B64C4A" w:rsidRDefault="00937F29">
      <w:pPr>
        <w:spacing w:after="160" w:line="300" w:lineRule="auto"/>
      </w:pPr>
      <w:r>
        <w:t>If Cap. 193 imposes a broad indemnity that no deed can restrict, there is a real exposure, and a corporate GP may be worth its cost after all.</w:t>
      </w:r>
    </w:p>
    <w:p w14:paraId="7E2B1459" w14:textId="77777777" w:rsidR="00B64C4A" w:rsidRDefault="00937F29">
      <w:pPr>
        <w:spacing w:after="160" w:line="300" w:lineRule="auto"/>
      </w:pPr>
      <w:r>
        <w:t>If the indemnity is a default rule, or exists only because the deed grants it, the answer may be a design choice rather than a risk. A deed written from the outset could define what liabilities the trustee may charge to the fund, and treat general partner liabilities differently.</w:t>
      </w:r>
    </w:p>
    <w:p w14:paraId="55B89D28" w14:textId="77777777" w:rsidR="00B64C4A" w:rsidRDefault="00937F29">
      <w:pPr>
        <w:spacing w:after="160" w:line="300" w:lineRule="auto"/>
      </w:pPr>
      <w:r>
        <w:t>Timing would matter enormously. A limit written into the trust before it ever becomes general partner is a very different thing from stripping an indemnity away after the partnership has creditors. The second invites every fraudulent-transfer and public-policy argument in the book. The first is simply how the trust was built.</w:t>
      </w:r>
    </w:p>
    <w:p w14:paraId="2671E6EB" w14:textId="77777777" w:rsidR="00B64C4A" w:rsidRDefault="00937F29">
      <w:pPr>
        <w:pStyle w:val="Heading2"/>
        <w:spacing w:before="280" w:after="120"/>
      </w:pPr>
      <w:r>
        <w:t>What I am not claiming</w:t>
      </w:r>
    </w:p>
    <w:p w14:paraId="7AB4819C" w14:textId="77777777" w:rsidR="00B64C4A" w:rsidRDefault="00937F29">
      <w:pPr>
        <w:spacing w:after="160" w:line="300" w:lineRule="auto"/>
      </w:pPr>
      <w:r>
        <w:t>I am not claiming that a Lionheart sitting as general partner of a Loonie Bear shields its fund from the partnership’s creditors. Nobody can claim that yet, because nobody has answered Gate B or Gate A. I am not a lawyer, and this is not legal advice.</w:t>
      </w:r>
    </w:p>
    <w:p w14:paraId="79DD3F5F" w14:textId="77777777" w:rsidR="00B64C4A" w:rsidRDefault="00937F29">
      <w:pPr>
        <w:spacing w:after="160" w:line="300" w:lineRule="auto"/>
      </w:pPr>
      <w:r>
        <w:t>What I am claiming is narrower, and I think more useful. "Unlimited liability means the trust is exposed" is not an answer. It is a shortcut past two questions that have never been asked. The statute opens the door. The next article walks through it.</w:t>
      </w:r>
    </w:p>
    <w:p w14:paraId="37D50989" w14:textId="77777777" w:rsidR="00B64C4A" w:rsidRDefault="00937F29">
      <w:pPr>
        <w:pBdr>
          <w:top w:val="single" w:sz="6" w:space="8" w:color="999999"/>
        </w:pBdr>
        <w:spacing w:before="240"/>
      </w:pPr>
      <w:r>
        <w:rPr>
          <w:i/>
          <w:iCs/>
          <w:sz w:val="20"/>
          <w:szCs w:val="20"/>
        </w:rPr>
        <w:t>Mark Morris is an independent international trust architect and CRS/CARF specialist, and architect of the Polar Bear, Lionheart and Arctic Kiwi trusts. This article is not legal or tax advice.</w:t>
      </w:r>
    </w:p>
    <w:sectPr w:rsidR="00B64C4A">
      <w:pgSz w:w="11906" w:h="16838"/>
      <w:pgMar w:top="1300" w:right="1300" w:bottom="1300" w:left="13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516DA"/>
    <w:multiLevelType w:val="hybridMultilevel"/>
    <w:tmpl w:val="FFFFFFFF"/>
    <w:lvl w:ilvl="0" w:tplc="AA5C1EF8">
      <w:start w:val="1"/>
      <w:numFmt w:val="bullet"/>
      <w:lvlText w:val="•"/>
      <w:lvlJc w:val="left"/>
      <w:pPr>
        <w:ind w:left="720" w:hanging="360"/>
      </w:pPr>
    </w:lvl>
    <w:lvl w:ilvl="1" w:tplc="553C4658">
      <w:numFmt w:val="decimal"/>
      <w:lvlText w:val=""/>
      <w:lvlJc w:val="left"/>
    </w:lvl>
    <w:lvl w:ilvl="2" w:tplc="00EA6FBE">
      <w:numFmt w:val="decimal"/>
      <w:lvlText w:val=""/>
      <w:lvlJc w:val="left"/>
    </w:lvl>
    <w:lvl w:ilvl="3" w:tplc="4426D398">
      <w:numFmt w:val="decimal"/>
      <w:lvlText w:val=""/>
      <w:lvlJc w:val="left"/>
    </w:lvl>
    <w:lvl w:ilvl="4" w:tplc="FC088478">
      <w:numFmt w:val="decimal"/>
      <w:lvlText w:val=""/>
      <w:lvlJc w:val="left"/>
    </w:lvl>
    <w:lvl w:ilvl="5" w:tplc="69AE952A">
      <w:numFmt w:val="decimal"/>
      <w:lvlText w:val=""/>
      <w:lvlJc w:val="left"/>
    </w:lvl>
    <w:lvl w:ilvl="6" w:tplc="F8DA8C64">
      <w:numFmt w:val="decimal"/>
      <w:lvlText w:val=""/>
      <w:lvlJc w:val="left"/>
    </w:lvl>
    <w:lvl w:ilvl="7" w:tplc="395E4C98">
      <w:numFmt w:val="decimal"/>
      <w:lvlText w:val=""/>
      <w:lvlJc w:val="left"/>
    </w:lvl>
    <w:lvl w:ilvl="8" w:tplc="B3FC7E64">
      <w:numFmt w:val="decimal"/>
      <w:lvlText w:val=""/>
      <w:lvlJc w:val="left"/>
    </w:lvl>
  </w:abstractNum>
  <w:abstractNum w:abstractNumId="1" w15:restartNumberingAfterBreak="0">
    <w:nsid w:val="692D2107"/>
    <w:multiLevelType w:val="hybridMultilevel"/>
    <w:tmpl w:val="FFFFFFFF"/>
    <w:lvl w:ilvl="0" w:tplc="A2DC7CCA">
      <w:start w:val="1"/>
      <w:numFmt w:val="bullet"/>
      <w:lvlText w:val="●"/>
      <w:lvlJc w:val="left"/>
      <w:pPr>
        <w:ind w:left="720" w:hanging="360"/>
      </w:pPr>
    </w:lvl>
    <w:lvl w:ilvl="1" w:tplc="D51A0402">
      <w:start w:val="1"/>
      <w:numFmt w:val="bullet"/>
      <w:lvlText w:val="○"/>
      <w:lvlJc w:val="left"/>
      <w:pPr>
        <w:ind w:left="1440" w:hanging="360"/>
      </w:pPr>
    </w:lvl>
    <w:lvl w:ilvl="2" w:tplc="212E64B4">
      <w:start w:val="1"/>
      <w:numFmt w:val="bullet"/>
      <w:lvlText w:val="■"/>
      <w:lvlJc w:val="left"/>
      <w:pPr>
        <w:ind w:left="2160" w:hanging="360"/>
      </w:pPr>
    </w:lvl>
    <w:lvl w:ilvl="3" w:tplc="BDFC03C4">
      <w:start w:val="1"/>
      <w:numFmt w:val="bullet"/>
      <w:lvlText w:val="●"/>
      <w:lvlJc w:val="left"/>
      <w:pPr>
        <w:ind w:left="2880" w:hanging="360"/>
      </w:pPr>
    </w:lvl>
    <w:lvl w:ilvl="4" w:tplc="E7D8ECF0">
      <w:start w:val="1"/>
      <w:numFmt w:val="bullet"/>
      <w:lvlText w:val="○"/>
      <w:lvlJc w:val="left"/>
      <w:pPr>
        <w:ind w:left="3600" w:hanging="360"/>
      </w:pPr>
    </w:lvl>
    <w:lvl w:ilvl="5" w:tplc="337ECAFC">
      <w:start w:val="1"/>
      <w:numFmt w:val="bullet"/>
      <w:lvlText w:val="■"/>
      <w:lvlJc w:val="left"/>
      <w:pPr>
        <w:ind w:left="4320" w:hanging="360"/>
      </w:pPr>
    </w:lvl>
    <w:lvl w:ilvl="6" w:tplc="B15CA9BE">
      <w:start w:val="1"/>
      <w:numFmt w:val="bullet"/>
      <w:lvlText w:val="●"/>
      <w:lvlJc w:val="left"/>
      <w:pPr>
        <w:ind w:left="5040" w:hanging="360"/>
      </w:pPr>
    </w:lvl>
    <w:lvl w:ilvl="7" w:tplc="4D5E91E2">
      <w:start w:val="1"/>
      <w:numFmt w:val="bullet"/>
      <w:lvlText w:val="●"/>
      <w:lvlJc w:val="left"/>
      <w:pPr>
        <w:ind w:left="5760" w:hanging="360"/>
      </w:pPr>
    </w:lvl>
    <w:lvl w:ilvl="8" w:tplc="2C507560">
      <w:start w:val="1"/>
      <w:numFmt w:val="bullet"/>
      <w:lvlText w:val="●"/>
      <w:lvlJc w:val="left"/>
      <w:pPr>
        <w:ind w:left="6480" w:hanging="360"/>
      </w:pPr>
    </w:lvl>
  </w:abstractNum>
  <w:num w:numId="1" w16cid:durableId="180363389">
    <w:abstractNumId w:val="1"/>
    <w:lvlOverride w:ilvl="0">
      <w:startOverride w:val="1"/>
    </w:lvlOverride>
  </w:num>
  <w:num w:numId="2" w16cid:durableId="18482060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C4A"/>
    <w:rsid w:val="008E7CC1"/>
    <w:rsid w:val="00937F29"/>
    <w:rsid w:val="00B64C4A"/>
    <w:rsid w:val="00D621B7"/>
    <w:rsid w:val="00FD4B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3E2BD"/>
  <w15:docId w15:val="{F90F8456-523C-EE4C-BC22-79BB82B5D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3"/>
        <w:szCs w:val="23"/>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b/>
      <w:bCs/>
      <w:color w:val="1F3A5F"/>
      <w:sz w:val="27"/>
      <w:szCs w:val="27"/>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b/>
      <w:bCs/>
      <w:color w:val="1F3A5F"/>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645</Words>
  <Characters>4065</Characters>
  <Application>Microsoft Office Word</Application>
  <DocSecurity>0</DocSecurity>
  <Lines>33</Lines>
  <Paragraphs>9</Paragraphs>
  <ScaleCrop>false</ScaleCrop>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Mark Morris</cp:lastModifiedBy>
  <cp:revision>2</cp:revision>
  <dcterms:created xsi:type="dcterms:W3CDTF">2026-10-01T12:55:00Z</dcterms:created>
  <dcterms:modified xsi:type="dcterms:W3CDTF">2026-10-01T12:55:00Z</dcterms:modified>
</cp:coreProperties>
</file>